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F2B" w:rsidRPr="00147003" w:rsidRDefault="00E36F2B" w:rsidP="00E36F2B">
      <w:pPr>
        <w:jc w:val="center"/>
        <w:rPr>
          <w:rFonts w:ascii="Times New Roman" w:hAnsi="Times New Roman"/>
          <w:b/>
          <w:color w:val="0070C0"/>
          <w:sz w:val="28"/>
          <w:szCs w:val="28"/>
        </w:rPr>
      </w:pPr>
      <w:r w:rsidRPr="00147003">
        <w:rPr>
          <w:rFonts w:ascii="Times New Roman" w:hAnsi="Times New Roman"/>
          <w:b/>
          <w:color w:val="0070C0"/>
          <w:sz w:val="28"/>
          <w:szCs w:val="28"/>
        </w:rPr>
        <w:t>Министерство образования и науки Республики Казахстан</w:t>
      </w:r>
    </w:p>
    <w:p w:rsidR="00E36F2B" w:rsidRDefault="00E36F2B" w:rsidP="00E36F2B">
      <w:pPr>
        <w:jc w:val="center"/>
        <w:rPr>
          <w:rFonts w:ascii="Times New Roman" w:hAnsi="Times New Roman"/>
          <w:b/>
          <w:color w:val="0070C0"/>
          <w:sz w:val="28"/>
          <w:szCs w:val="28"/>
        </w:rPr>
      </w:pPr>
      <w:r>
        <w:rPr>
          <w:rFonts w:ascii="Times New Roman" w:hAnsi="Times New Roman"/>
          <w:b/>
          <w:color w:val="0070C0"/>
          <w:sz w:val="28"/>
          <w:szCs w:val="28"/>
        </w:rPr>
        <w:t>о</w:t>
      </w:r>
      <w:r w:rsidRPr="00147003">
        <w:rPr>
          <w:rFonts w:ascii="Times New Roman" w:hAnsi="Times New Roman"/>
          <w:b/>
          <w:color w:val="0070C0"/>
          <w:sz w:val="28"/>
          <w:szCs w:val="28"/>
        </w:rPr>
        <w:t xml:space="preserve">тдел образования </w:t>
      </w:r>
      <w:r>
        <w:rPr>
          <w:rFonts w:ascii="Times New Roman" w:hAnsi="Times New Roman"/>
          <w:b/>
          <w:color w:val="0070C0"/>
          <w:sz w:val="28"/>
          <w:szCs w:val="28"/>
        </w:rPr>
        <w:t>Атбасарского района</w:t>
      </w:r>
    </w:p>
    <w:p w:rsidR="00E36F2B" w:rsidRPr="005A2DDB" w:rsidRDefault="00E36F2B" w:rsidP="000A6392">
      <w:pPr>
        <w:rPr>
          <w:rFonts w:ascii="Times New Roman" w:hAnsi="Times New Roman"/>
          <w:b/>
          <w:color w:val="0070C0"/>
        </w:rPr>
      </w:pPr>
    </w:p>
    <w:p w:rsidR="00443F85" w:rsidRPr="005A2DDB" w:rsidRDefault="00443F85" w:rsidP="000A6392">
      <w:pPr>
        <w:rPr>
          <w:rFonts w:ascii="Times New Roman" w:hAnsi="Times New Roman"/>
          <w:b/>
          <w:color w:val="0070C0"/>
        </w:rPr>
      </w:pPr>
    </w:p>
    <w:p w:rsidR="00443F85" w:rsidRPr="005A2DDB" w:rsidRDefault="00443F85" w:rsidP="000A6392">
      <w:pPr>
        <w:rPr>
          <w:rFonts w:ascii="Times New Roman" w:hAnsi="Times New Roman"/>
          <w:b/>
          <w:color w:val="0070C0"/>
        </w:rPr>
      </w:pPr>
    </w:p>
    <w:p w:rsidR="00443F85" w:rsidRPr="005A2DDB" w:rsidRDefault="00443F85" w:rsidP="000A6392">
      <w:pPr>
        <w:rPr>
          <w:rFonts w:ascii="Times New Roman" w:hAnsi="Times New Roman"/>
          <w:b/>
          <w:color w:val="0070C0"/>
        </w:rPr>
      </w:pPr>
    </w:p>
    <w:p w:rsidR="00443F85" w:rsidRPr="005A2DDB" w:rsidRDefault="00443F85" w:rsidP="000A6392">
      <w:pPr>
        <w:rPr>
          <w:rFonts w:ascii="Times New Roman" w:hAnsi="Times New Roman"/>
          <w:b/>
          <w:color w:val="0070C0"/>
        </w:rPr>
      </w:pPr>
    </w:p>
    <w:p w:rsidR="00443F85" w:rsidRPr="005A2DDB" w:rsidRDefault="00443F85" w:rsidP="000A6392">
      <w:pPr>
        <w:rPr>
          <w:rFonts w:ascii="Times New Roman" w:hAnsi="Times New Roman"/>
          <w:b/>
          <w:color w:val="0070C0"/>
        </w:rPr>
      </w:pPr>
    </w:p>
    <w:p w:rsidR="000A6392" w:rsidRDefault="008772A7" w:rsidP="00E36F2B">
      <w:pPr>
        <w:jc w:val="center"/>
        <w:rPr>
          <w:rFonts w:ascii="Times New Roman" w:hAnsi="Times New Roman"/>
          <w:b/>
          <w:color w:val="FF0000"/>
          <w:sz w:val="36"/>
          <w:szCs w:val="36"/>
        </w:rPr>
      </w:pPr>
      <w:r>
        <w:rPr>
          <w:rFonts w:ascii="Times New Roman" w:hAnsi="Times New Roman"/>
          <w:b/>
          <w:color w:val="FF0000"/>
          <w:sz w:val="36"/>
          <w:szCs w:val="36"/>
        </w:rPr>
        <w:t>«Интерактивные дидактические</w:t>
      </w:r>
      <w:r w:rsidR="000A6392">
        <w:rPr>
          <w:rFonts w:ascii="Times New Roman" w:hAnsi="Times New Roman"/>
          <w:b/>
          <w:color w:val="FF0000"/>
          <w:sz w:val="36"/>
          <w:szCs w:val="36"/>
        </w:rPr>
        <w:t xml:space="preserve"> игры</w:t>
      </w:r>
    </w:p>
    <w:p w:rsidR="00E36F2B" w:rsidRPr="00147003" w:rsidRDefault="000A6392" w:rsidP="00E36F2B">
      <w:pPr>
        <w:jc w:val="center"/>
        <w:rPr>
          <w:rFonts w:ascii="Times New Roman" w:hAnsi="Times New Roman"/>
          <w:b/>
          <w:color w:val="FF0000"/>
          <w:sz w:val="36"/>
          <w:szCs w:val="36"/>
        </w:rPr>
      </w:pPr>
      <w:r>
        <w:rPr>
          <w:rFonts w:ascii="Times New Roman" w:hAnsi="Times New Roman"/>
          <w:b/>
          <w:color w:val="FF0000"/>
          <w:sz w:val="36"/>
          <w:szCs w:val="36"/>
        </w:rPr>
        <w:t>по математике</w:t>
      </w:r>
      <w:r w:rsidR="00E36F2B" w:rsidRPr="00147003">
        <w:rPr>
          <w:rFonts w:ascii="Times New Roman" w:hAnsi="Times New Roman"/>
          <w:b/>
          <w:color w:val="FF0000"/>
          <w:sz w:val="36"/>
          <w:szCs w:val="36"/>
        </w:rPr>
        <w:t xml:space="preserve">» </w:t>
      </w:r>
    </w:p>
    <w:p w:rsidR="00E36F2B" w:rsidRPr="00147003" w:rsidRDefault="00E36F2B" w:rsidP="00E36F2B">
      <w:pPr>
        <w:jc w:val="center"/>
        <w:rPr>
          <w:rFonts w:ascii="Times New Roman" w:hAnsi="Times New Roman"/>
          <w:b/>
          <w:color w:val="0070C0"/>
          <w:sz w:val="36"/>
          <w:szCs w:val="36"/>
        </w:rPr>
      </w:pPr>
      <w:r>
        <w:rPr>
          <w:rFonts w:ascii="Times New Roman" w:hAnsi="Times New Roman"/>
          <w:b/>
          <w:color w:val="0070C0"/>
          <w:sz w:val="36"/>
          <w:szCs w:val="36"/>
        </w:rPr>
        <w:t>для 1</w:t>
      </w:r>
      <w:r w:rsidRPr="00147003">
        <w:rPr>
          <w:rFonts w:ascii="Times New Roman" w:hAnsi="Times New Roman"/>
          <w:b/>
          <w:color w:val="0070C0"/>
          <w:sz w:val="36"/>
          <w:szCs w:val="36"/>
        </w:rPr>
        <w:t>-</w:t>
      </w:r>
      <w:r w:rsidR="00FD5FF8">
        <w:rPr>
          <w:rFonts w:ascii="Times New Roman" w:hAnsi="Times New Roman"/>
          <w:b/>
          <w:color w:val="0070C0"/>
          <w:sz w:val="36"/>
          <w:szCs w:val="36"/>
        </w:rPr>
        <w:t>4</w:t>
      </w:r>
      <w:r>
        <w:rPr>
          <w:rFonts w:ascii="Times New Roman" w:hAnsi="Times New Roman"/>
          <w:b/>
          <w:color w:val="0070C0"/>
          <w:sz w:val="36"/>
          <w:szCs w:val="36"/>
        </w:rPr>
        <w:t xml:space="preserve"> </w:t>
      </w:r>
      <w:r w:rsidRPr="00147003">
        <w:rPr>
          <w:rFonts w:ascii="Times New Roman" w:hAnsi="Times New Roman"/>
          <w:b/>
          <w:color w:val="0070C0"/>
          <w:sz w:val="36"/>
          <w:szCs w:val="36"/>
        </w:rPr>
        <w:t xml:space="preserve"> класс</w:t>
      </w:r>
      <w:r w:rsidR="00FD5FF8">
        <w:rPr>
          <w:rFonts w:ascii="Times New Roman" w:hAnsi="Times New Roman"/>
          <w:b/>
          <w:color w:val="0070C0"/>
          <w:sz w:val="36"/>
          <w:szCs w:val="36"/>
        </w:rPr>
        <w:t>ов</w:t>
      </w:r>
    </w:p>
    <w:p w:rsidR="00E36F2B" w:rsidRPr="00E215B6" w:rsidRDefault="000A6392" w:rsidP="00E36F2B">
      <w:pPr>
        <w:tabs>
          <w:tab w:val="left" w:pos="9288"/>
        </w:tabs>
        <w:ind w:left="360"/>
        <w:jc w:val="center"/>
        <w:rPr>
          <w:noProof/>
          <w:sz w:val="28"/>
          <w:szCs w:val="28"/>
        </w:rPr>
      </w:pPr>
      <w:r>
        <w:rPr>
          <w:noProof/>
          <w:sz w:val="28"/>
          <w:szCs w:val="28"/>
        </w:rPr>
        <w:drawing>
          <wp:inline distT="0" distB="0" distL="0" distR="0">
            <wp:extent cx="2468803" cy="1876425"/>
            <wp:effectExtent l="19050" t="0" r="7697" b="0"/>
            <wp:docPr id="2" name="Рисунок 1" descr="F:\Гуля папка\image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уля папка\image (110).jpg"/>
                    <pic:cNvPicPr>
                      <a:picLocks noChangeAspect="1" noChangeArrowheads="1"/>
                    </pic:cNvPicPr>
                  </pic:nvPicPr>
                  <pic:blipFill>
                    <a:blip r:embed="rId7" cstate="print"/>
                    <a:srcRect/>
                    <a:stretch>
                      <a:fillRect/>
                    </a:stretch>
                  </pic:blipFill>
                  <pic:spPr bwMode="auto">
                    <a:xfrm>
                      <a:off x="0" y="0"/>
                      <a:ext cx="2466138" cy="1874399"/>
                    </a:xfrm>
                    <a:prstGeom prst="rect">
                      <a:avLst/>
                    </a:prstGeom>
                    <a:noFill/>
                    <a:ln w="9525">
                      <a:noFill/>
                      <a:miter lim="800000"/>
                      <a:headEnd/>
                      <a:tailEnd/>
                    </a:ln>
                  </pic:spPr>
                </pic:pic>
              </a:graphicData>
            </a:graphic>
          </wp:inline>
        </w:drawing>
      </w:r>
    </w:p>
    <w:p w:rsidR="00E36F2B" w:rsidRDefault="00E36F2B" w:rsidP="00E36F2B">
      <w:pPr>
        <w:tabs>
          <w:tab w:val="left" w:pos="9288"/>
        </w:tabs>
        <w:rPr>
          <w:noProof/>
          <w:sz w:val="28"/>
          <w:szCs w:val="28"/>
        </w:rPr>
      </w:pPr>
    </w:p>
    <w:p w:rsidR="00E36F2B" w:rsidRDefault="00E36F2B" w:rsidP="00E36F2B">
      <w:pPr>
        <w:pStyle w:val="a3"/>
        <w:jc w:val="right"/>
        <w:rPr>
          <w:b/>
          <w:color w:val="0070C0"/>
          <w:sz w:val="28"/>
          <w:szCs w:val="28"/>
        </w:rPr>
      </w:pPr>
      <w:r>
        <w:rPr>
          <w:b/>
          <w:color w:val="0070C0"/>
          <w:sz w:val="28"/>
          <w:szCs w:val="28"/>
        </w:rPr>
        <w:t>Подготовила:</w:t>
      </w:r>
    </w:p>
    <w:p w:rsidR="00E36F2B" w:rsidRDefault="00E36F2B" w:rsidP="00E36F2B">
      <w:pPr>
        <w:pStyle w:val="a3"/>
        <w:jc w:val="right"/>
        <w:rPr>
          <w:color w:val="0070C0"/>
          <w:sz w:val="28"/>
          <w:szCs w:val="28"/>
        </w:rPr>
      </w:pPr>
      <w:r>
        <w:rPr>
          <w:color w:val="0070C0"/>
          <w:sz w:val="28"/>
          <w:szCs w:val="28"/>
        </w:rPr>
        <w:t xml:space="preserve">                                                    учитель начальных классов</w:t>
      </w:r>
    </w:p>
    <w:p w:rsidR="00E36F2B" w:rsidRDefault="00E36F2B" w:rsidP="00E36F2B">
      <w:pPr>
        <w:pStyle w:val="a3"/>
        <w:jc w:val="right"/>
        <w:rPr>
          <w:color w:val="0070C0"/>
          <w:sz w:val="28"/>
          <w:szCs w:val="28"/>
        </w:rPr>
      </w:pPr>
      <w:r>
        <w:rPr>
          <w:color w:val="0070C0"/>
          <w:sz w:val="28"/>
          <w:szCs w:val="28"/>
        </w:rPr>
        <w:t xml:space="preserve">                                                      первой категории </w:t>
      </w:r>
    </w:p>
    <w:p w:rsidR="00E36F2B" w:rsidRDefault="00E36F2B" w:rsidP="00E36F2B">
      <w:pPr>
        <w:pStyle w:val="a3"/>
        <w:jc w:val="right"/>
        <w:rPr>
          <w:color w:val="0070C0"/>
          <w:sz w:val="28"/>
          <w:szCs w:val="28"/>
        </w:rPr>
      </w:pPr>
      <w:r>
        <w:rPr>
          <w:color w:val="0070C0"/>
          <w:sz w:val="28"/>
          <w:szCs w:val="28"/>
        </w:rPr>
        <w:t xml:space="preserve">                                              </w:t>
      </w:r>
    </w:p>
    <w:p w:rsidR="00E36F2B" w:rsidRPr="00344674" w:rsidRDefault="00E36F2B" w:rsidP="00E36F2B">
      <w:pPr>
        <w:pStyle w:val="a3"/>
        <w:jc w:val="right"/>
        <w:rPr>
          <w:b/>
          <w:color w:val="FF0000"/>
          <w:sz w:val="28"/>
          <w:szCs w:val="28"/>
        </w:rPr>
      </w:pPr>
      <w:r w:rsidRPr="00344674">
        <w:rPr>
          <w:b/>
          <w:color w:val="FF0000"/>
          <w:sz w:val="28"/>
          <w:szCs w:val="28"/>
        </w:rPr>
        <w:t xml:space="preserve">                      </w:t>
      </w:r>
      <w:r>
        <w:rPr>
          <w:b/>
          <w:color w:val="FF0000"/>
          <w:sz w:val="28"/>
          <w:szCs w:val="28"/>
        </w:rPr>
        <w:t xml:space="preserve">                             Пфейфер Гульнара Амангельдиновна</w:t>
      </w:r>
    </w:p>
    <w:p w:rsidR="00E36F2B" w:rsidRDefault="00E36F2B" w:rsidP="00E36F2B">
      <w:pPr>
        <w:pStyle w:val="a3"/>
        <w:ind w:firstLine="0"/>
        <w:jc w:val="right"/>
        <w:rPr>
          <w:b/>
          <w:color w:val="0070C0"/>
          <w:sz w:val="28"/>
          <w:szCs w:val="28"/>
        </w:rPr>
      </w:pPr>
    </w:p>
    <w:p w:rsidR="00E36F2B" w:rsidRPr="00E36F2B" w:rsidRDefault="00E36F2B" w:rsidP="00E36F2B">
      <w:pPr>
        <w:pStyle w:val="a3"/>
        <w:ind w:firstLine="0"/>
        <w:jc w:val="center"/>
        <w:rPr>
          <w:b/>
          <w:color w:val="365F91" w:themeColor="accent1" w:themeShade="BF"/>
          <w:sz w:val="28"/>
          <w:szCs w:val="28"/>
        </w:rPr>
      </w:pPr>
      <w:r w:rsidRPr="00E36F2B">
        <w:rPr>
          <w:b/>
          <w:color w:val="365F91" w:themeColor="accent1" w:themeShade="BF"/>
          <w:sz w:val="28"/>
          <w:szCs w:val="28"/>
        </w:rPr>
        <w:t>Акмолинская  область</w:t>
      </w:r>
    </w:p>
    <w:p w:rsidR="00E36F2B" w:rsidRPr="00E36F2B" w:rsidRDefault="00E36F2B" w:rsidP="00E36F2B">
      <w:pPr>
        <w:pStyle w:val="a3"/>
        <w:ind w:firstLine="0"/>
        <w:jc w:val="center"/>
        <w:rPr>
          <w:b/>
          <w:color w:val="365F91" w:themeColor="accent1" w:themeShade="BF"/>
          <w:sz w:val="28"/>
          <w:szCs w:val="28"/>
        </w:rPr>
      </w:pPr>
      <w:r w:rsidRPr="00E36F2B">
        <w:rPr>
          <w:b/>
          <w:color w:val="365F91" w:themeColor="accent1" w:themeShade="BF"/>
          <w:sz w:val="28"/>
          <w:szCs w:val="28"/>
        </w:rPr>
        <w:t>Атбасарский район</w:t>
      </w:r>
    </w:p>
    <w:p w:rsidR="00E36F2B" w:rsidRPr="00E36F2B" w:rsidRDefault="00E36F2B" w:rsidP="00E36F2B">
      <w:pPr>
        <w:pStyle w:val="a3"/>
        <w:ind w:firstLine="0"/>
        <w:jc w:val="center"/>
        <w:rPr>
          <w:b/>
          <w:color w:val="365F91" w:themeColor="accent1" w:themeShade="BF"/>
          <w:sz w:val="28"/>
          <w:szCs w:val="28"/>
        </w:rPr>
      </w:pPr>
      <w:r w:rsidRPr="00E36F2B">
        <w:rPr>
          <w:b/>
          <w:color w:val="365F91" w:themeColor="accent1" w:themeShade="BF"/>
          <w:sz w:val="28"/>
          <w:szCs w:val="28"/>
        </w:rPr>
        <w:t>с.  Новомариновка</w:t>
      </w:r>
    </w:p>
    <w:p w:rsidR="00E36F2B" w:rsidRPr="00E36F2B" w:rsidRDefault="00E36F2B" w:rsidP="00E36F2B">
      <w:pPr>
        <w:spacing w:after="0"/>
        <w:jc w:val="center"/>
        <w:rPr>
          <w:rFonts w:ascii="Times New Roman" w:hAnsi="Times New Roman" w:cs="Times New Roman"/>
          <w:b/>
          <w:bCs/>
          <w:color w:val="365F91" w:themeColor="accent1" w:themeShade="BF"/>
          <w:sz w:val="28"/>
          <w:szCs w:val="28"/>
        </w:rPr>
      </w:pPr>
      <w:r w:rsidRPr="00E36F2B">
        <w:rPr>
          <w:rFonts w:ascii="Times New Roman" w:hAnsi="Times New Roman" w:cs="Times New Roman"/>
          <w:b/>
          <w:color w:val="365F91" w:themeColor="accent1" w:themeShade="BF"/>
          <w:sz w:val="28"/>
          <w:szCs w:val="28"/>
        </w:rPr>
        <w:t xml:space="preserve">КГУ </w:t>
      </w:r>
      <w:r w:rsidRPr="00E36F2B">
        <w:rPr>
          <w:rFonts w:ascii="Times New Roman" w:hAnsi="Times New Roman" w:cs="Times New Roman"/>
          <w:b/>
          <w:bCs/>
          <w:color w:val="365F91" w:themeColor="accent1" w:themeShade="BF"/>
          <w:sz w:val="28"/>
          <w:szCs w:val="28"/>
        </w:rPr>
        <w:t xml:space="preserve"> « Основная средняя школа села Ново-Мариновка</w:t>
      </w:r>
    </w:p>
    <w:p w:rsidR="00E36F2B" w:rsidRPr="00E36F2B" w:rsidRDefault="00E36F2B" w:rsidP="00E36F2B">
      <w:pPr>
        <w:spacing w:after="0"/>
        <w:jc w:val="center"/>
        <w:rPr>
          <w:rFonts w:ascii="Times New Roman" w:hAnsi="Times New Roman" w:cs="Times New Roman"/>
          <w:b/>
          <w:bCs/>
          <w:color w:val="365F91" w:themeColor="accent1" w:themeShade="BF"/>
          <w:sz w:val="28"/>
          <w:szCs w:val="28"/>
        </w:rPr>
      </w:pPr>
      <w:r w:rsidRPr="00E36F2B">
        <w:rPr>
          <w:rFonts w:ascii="Times New Roman" w:hAnsi="Times New Roman" w:cs="Times New Roman"/>
          <w:b/>
          <w:bCs/>
          <w:color w:val="365F91" w:themeColor="accent1" w:themeShade="BF"/>
          <w:sz w:val="28"/>
          <w:szCs w:val="28"/>
        </w:rPr>
        <w:t>отдела образования  по Атбасарскому  району управления образования</w:t>
      </w:r>
    </w:p>
    <w:p w:rsidR="000A6392" w:rsidRDefault="00E36F2B" w:rsidP="000A6392">
      <w:pPr>
        <w:pStyle w:val="a3"/>
        <w:ind w:firstLine="0"/>
        <w:jc w:val="center"/>
        <w:rPr>
          <w:b/>
          <w:color w:val="365F91" w:themeColor="accent1" w:themeShade="BF"/>
          <w:sz w:val="28"/>
          <w:szCs w:val="28"/>
        </w:rPr>
      </w:pPr>
      <w:r w:rsidRPr="00E36F2B">
        <w:rPr>
          <w:b/>
          <w:bCs/>
          <w:color w:val="365F91" w:themeColor="accent1" w:themeShade="BF"/>
          <w:sz w:val="28"/>
          <w:szCs w:val="28"/>
          <w:lang w:eastAsia="ru-RU"/>
        </w:rPr>
        <w:t>Акмолинской области</w:t>
      </w:r>
      <w:r w:rsidRPr="00E36F2B">
        <w:rPr>
          <w:b/>
          <w:color w:val="365F91" w:themeColor="accent1" w:themeShade="BF"/>
          <w:sz w:val="28"/>
          <w:szCs w:val="28"/>
        </w:rPr>
        <w:t>»</w:t>
      </w:r>
    </w:p>
    <w:p w:rsidR="00E36F2B" w:rsidRPr="00E36F2B" w:rsidRDefault="00E36F2B" w:rsidP="000A6392">
      <w:pPr>
        <w:pStyle w:val="a3"/>
        <w:ind w:firstLine="0"/>
        <w:jc w:val="center"/>
        <w:rPr>
          <w:b/>
          <w:color w:val="365F91" w:themeColor="accent1" w:themeShade="BF"/>
          <w:sz w:val="28"/>
          <w:szCs w:val="28"/>
        </w:rPr>
      </w:pPr>
      <w:r w:rsidRPr="00E36F2B">
        <w:rPr>
          <w:b/>
          <w:color w:val="365F91" w:themeColor="accent1" w:themeShade="BF"/>
          <w:sz w:val="28"/>
          <w:szCs w:val="28"/>
        </w:rPr>
        <w:t>2021 г</w:t>
      </w:r>
    </w:p>
    <w:p w:rsidR="005A2DDB" w:rsidRDefault="005A2DDB" w:rsidP="005A2DDB">
      <w:pPr>
        <w:shd w:val="clear" w:color="auto" w:fill="FFFFFF"/>
        <w:spacing w:after="202" w:line="242" w:lineRule="atLeast"/>
        <w:jc w:val="both"/>
        <w:rPr>
          <w:rFonts w:ascii="Times New Roman" w:eastAsia="Calibri" w:hAnsi="Times New Roman" w:cs="Times New Roman"/>
          <w:b/>
          <w:color w:val="365F91" w:themeColor="accent1" w:themeShade="BF"/>
          <w:sz w:val="28"/>
          <w:szCs w:val="28"/>
          <w:lang w:eastAsia="en-US"/>
        </w:rPr>
      </w:pPr>
    </w:p>
    <w:p w:rsidR="00465F5E" w:rsidRDefault="00A50A04" w:rsidP="005E384C">
      <w:pPr>
        <w:shd w:val="clear" w:color="auto" w:fill="FFFFFF"/>
        <w:spacing w:after="0" w:line="240" w:lineRule="auto"/>
        <w:jc w:val="both"/>
        <w:rPr>
          <w:rFonts w:ascii="Times New Roman" w:hAnsi="Times New Roman" w:cs="Times New Roman"/>
          <w:i/>
          <w:color w:val="212121"/>
          <w:sz w:val="28"/>
          <w:szCs w:val="28"/>
          <w:shd w:val="clear" w:color="auto" w:fill="FFFFFF"/>
        </w:rPr>
      </w:pPr>
      <w:r>
        <w:rPr>
          <w:rFonts w:ascii="Times New Roman" w:eastAsia="Times New Roman" w:hAnsi="Times New Roman" w:cs="Times New Roman"/>
          <w:i/>
          <w:color w:val="000000"/>
          <w:sz w:val="24"/>
          <w:szCs w:val="24"/>
        </w:rPr>
        <w:lastRenderedPageBreak/>
        <w:t xml:space="preserve"> </w:t>
      </w:r>
      <w:r w:rsidRPr="00465F5E">
        <w:rPr>
          <w:rFonts w:ascii="Times New Roman" w:eastAsia="Times New Roman" w:hAnsi="Times New Roman" w:cs="Times New Roman"/>
          <w:i/>
          <w:color w:val="000000"/>
          <w:sz w:val="28"/>
          <w:szCs w:val="28"/>
        </w:rPr>
        <w:t>«</w:t>
      </w:r>
      <w:r w:rsidR="00465F5E" w:rsidRPr="00465F5E">
        <w:rPr>
          <w:rFonts w:ascii="Times New Roman" w:hAnsi="Times New Roman" w:cs="Times New Roman"/>
          <w:i/>
          <w:color w:val="212121"/>
          <w:sz w:val="28"/>
          <w:szCs w:val="28"/>
          <w:shd w:val="clear" w:color="auto" w:fill="FFFFFF"/>
        </w:rPr>
        <w:t>Без игры нет, и не может быть полноценного умственного разви</w:t>
      </w:r>
      <w:r w:rsidR="00465F5E" w:rsidRPr="00465F5E">
        <w:rPr>
          <w:rFonts w:ascii="Times New Roman" w:hAnsi="Times New Roman" w:cs="Times New Roman"/>
          <w:i/>
          <w:color w:val="212121"/>
          <w:sz w:val="28"/>
          <w:szCs w:val="28"/>
          <w:shd w:val="clear" w:color="auto" w:fill="FFFFFF"/>
        </w:rPr>
        <w:softHyphen/>
        <w:t xml:space="preserve">тия. </w:t>
      </w:r>
    </w:p>
    <w:p w:rsidR="00A50A04" w:rsidRDefault="00465F5E" w:rsidP="005E384C">
      <w:pPr>
        <w:shd w:val="clear" w:color="auto" w:fill="FFFFFF"/>
        <w:spacing w:after="0" w:line="240" w:lineRule="auto"/>
        <w:jc w:val="both"/>
        <w:rPr>
          <w:rFonts w:ascii="Times New Roman" w:hAnsi="Times New Roman" w:cs="Times New Roman"/>
          <w:i/>
          <w:color w:val="212121"/>
          <w:sz w:val="28"/>
          <w:szCs w:val="28"/>
          <w:shd w:val="clear" w:color="auto" w:fill="FFFFFF"/>
        </w:rPr>
      </w:pPr>
      <w:r w:rsidRPr="00465F5E">
        <w:rPr>
          <w:rFonts w:ascii="Times New Roman" w:hAnsi="Times New Roman" w:cs="Times New Roman"/>
          <w:i/>
          <w:color w:val="212121"/>
          <w:sz w:val="28"/>
          <w:szCs w:val="28"/>
          <w:shd w:val="clear" w:color="auto" w:fill="FFFFFF"/>
        </w:rPr>
        <w:t xml:space="preserve">Игра - это огромное светлое окно, </w:t>
      </w:r>
      <w:r>
        <w:rPr>
          <w:rFonts w:ascii="Times New Roman" w:hAnsi="Times New Roman" w:cs="Times New Roman"/>
          <w:i/>
          <w:color w:val="212121"/>
          <w:sz w:val="28"/>
          <w:szCs w:val="28"/>
          <w:shd w:val="clear" w:color="auto" w:fill="FFFFFF"/>
        </w:rPr>
        <w:t xml:space="preserve"> </w:t>
      </w:r>
      <w:r w:rsidRPr="00465F5E">
        <w:rPr>
          <w:rFonts w:ascii="Times New Roman" w:hAnsi="Times New Roman" w:cs="Times New Roman"/>
          <w:i/>
          <w:color w:val="212121"/>
          <w:sz w:val="28"/>
          <w:szCs w:val="28"/>
          <w:shd w:val="clear" w:color="auto" w:fill="FFFFFF"/>
        </w:rPr>
        <w:t>через которое в духовный мир ребен</w:t>
      </w:r>
      <w:r w:rsidRPr="00465F5E">
        <w:rPr>
          <w:rFonts w:ascii="Times New Roman" w:hAnsi="Times New Roman" w:cs="Times New Roman"/>
          <w:i/>
          <w:color w:val="212121"/>
          <w:sz w:val="28"/>
          <w:szCs w:val="28"/>
          <w:shd w:val="clear" w:color="auto" w:fill="FFFFFF"/>
        </w:rPr>
        <w:softHyphen/>
        <w:t xml:space="preserve">ка вливается живительный поток представлений, </w:t>
      </w:r>
      <w:r>
        <w:rPr>
          <w:rFonts w:ascii="Times New Roman" w:hAnsi="Times New Roman" w:cs="Times New Roman"/>
          <w:i/>
          <w:color w:val="212121"/>
          <w:sz w:val="28"/>
          <w:szCs w:val="28"/>
          <w:shd w:val="clear" w:color="auto" w:fill="FFFFFF"/>
        </w:rPr>
        <w:t xml:space="preserve"> </w:t>
      </w:r>
      <w:r w:rsidRPr="00465F5E">
        <w:rPr>
          <w:rFonts w:ascii="Times New Roman" w:hAnsi="Times New Roman" w:cs="Times New Roman"/>
          <w:i/>
          <w:color w:val="212121"/>
          <w:sz w:val="28"/>
          <w:szCs w:val="28"/>
          <w:shd w:val="clear" w:color="auto" w:fill="FFFFFF"/>
        </w:rPr>
        <w:t>понятий об окружающем мире.</w:t>
      </w:r>
      <w:r w:rsidR="005E384C">
        <w:rPr>
          <w:rFonts w:ascii="Times New Roman" w:hAnsi="Times New Roman" w:cs="Times New Roman"/>
          <w:i/>
          <w:color w:val="212121"/>
          <w:sz w:val="28"/>
          <w:szCs w:val="28"/>
          <w:shd w:val="clear" w:color="auto" w:fill="FFFFFF"/>
        </w:rPr>
        <w:t xml:space="preserve"> </w:t>
      </w:r>
      <w:r w:rsidRPr="00465F5E">
        <w:rPr>
          <w:rFonts w:ascii="Times New Roman" w:hAnsi="Times New Roman" w:cs="Times New Roman"/>
          <w:i/>
          <w:color w:val="212121"/>
          <w:sz w:val="28"/>
          <w:szCs w:val="28"/>
          <w:shd w:val="clear" w:color="auto" w:fill="FFFFFF"/>
        </w:rPr>
        <w:t xml:space="preserve">Игра - это искра, </w:t>
      </w:r>
      <w:r w:rsidR="005C3A02">
        <w:rPr>
          <w:rFonts w:ascii="Times New Roman" w:hAnsi="Times New Roman" w:cs="Times New Roman"/>
          <w:i/>
          <w:color w:val="212121"/>
          <w:sz w:val="28"/>
          <w:szCs w:val="28"/>
          <w:shd w:val="clear" w:color="auto" w:fill="FFFFFF"/>
        </w:rPr>
        <w:t xml:space="preserve">  </w:t>
      </w:r>
      <w:r w:rsidRPr="00465F5E">
        <w:rPr>
          <w:rFonts w:ascii="Times New Roman" w:hAnsi="Times New Roman" w:cs="Times New Roman"/>
          <w:i/>
          <w:color w:val="212121"/>
          <w:sz w:val="28"/>
          <w:szCs w:val="28"/>
          <w:shd w:val="clear" w:color="auto" w:fill="FFFFFF"/>
        </w:rPr>
        <w:t>зажигающая огонек пытливости и любознательно</w:t>
      </w:r>
      <w:r w:rsidRPr="00465F5E">
        <w:rPr>
          <w:rFonts w:ascii="Times New Roman" w:hAnsi="Times New Roman" w:cs="Times New Roman"/>
          <w:i/>
          <w:color w:val="212121"/>
          <w:sz w:val="28"/>
          <w:szCs w:val="28"/>
          <w:shd w:val="clear" w:color="auto" w:fill="FFFFFF"/>
        </w:rPr>
        <w:softHyphen/>
        <w:t>сти».</w:t>
      </w:r>
    </w:p>
    <w:p w:rsidR="005C3A02" w:rsidRPr="005C3A02" w:rsidRDefault="005C3A02" w:rsidP="005E384C">
      <w:pPr>
        <w:shd w:val="clear" w:color="auto" w:fill="FFFFFF"/>
        <w:spacing w:after="0" w:line="240" w:lineRule="auto"/>
        <w:jc w:val="both"/>
        <w:rPr>
          <w:rFonts w:ascii="Times New Roman" w:hAnsi="Times New Roman" w:cs="Times New Roman"/>
          <w:i/>
          <w:color w:val="212121"/>
          <w:sz w:val="28"/>
          <w:szCs w:val="28"/>
          <w:shd w:val="clear" w:color="auto" w:fill="FFFFFF"/>
        </w:rPr>
      </w:pPr>
      <w:r>
        <w:rPr>
          <w:rFonts w:ascii="Times New Roman" w:hAnsi="Times New Roman" w:cs="Times New Roman"/>
          <w:color w:val="212121"/>
          <w:sz w:val="28"/>
          <w:szCs w:val="28"/>
          <w:shd w:val="clear" w:color="auto" w:fill="FFFFFF"/>
        </w:rPr>
        <w:t xml:space="preserve">                                                                                           </w:t>
      </w:r>
      <w:r w:rsidRPr="005C3A02">
        <w:rPr>
          <w:rFonts w:ascii="Times New Roman" w:hAnsi="Times New Roman" w:cs="Times New Roman"/>
          <w:color w:val="212121"/>
          <w:sz w:val="28"/>
          <w:szCs w:val="28"/>
          <w:shd w:val="clear" w:color="auto" w:fill="FFFFFF"/>
        </w:rPr>
        <w:t>В.А. Сухомлинский</w:t>
      </w:r>
    </w:p>
    <w:p w:rsidR="00FD5FF8" w:rsidRPr="00550B4B" w:rsidRDefault="00FD5FF8" w:rsidP="00550B4B">
      <w:pPr>
        <w:jc w:val="center"/>
        <w:rPr>
          <w:rFonts w:ascii="Times New Roman" w:hAnsi="Times New Roman" w:cs="Times New Roman"/>
          <w:b/>
          <w:sz w:val="28"/>
          <w:szCs w:val="28"/>
        </w:rPr>
      </w:pPr>
      <w:r w:rsidRPr="006D3EC2">
        <w:rPr>
          <w:rFonts w:ascii="Times New Roman" w:hAnsi="Times New Roman" w:cs="Times New Roman"/>
          <w:b/>
          <w:sz w:val="28"/>
          <w:szCs w:val="28"/>
        </w:rPr>
        <w:t>Пояснительная записка</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В настоящее время существует целый ряд способов повышения заинтересованности учащихся в освоении школьных дисциплин. Весьма эффективным, на мой взгля</w:t>
      </w:r>
      <w:r>
        <w:rPr>
          <w:rFonts w:ascii="Times New Roman" w:hAnsi="Times New Roman" w:cs="Times New Roman"/>
          <w:sz w:val="28"/>
          <w:szCs w:val="28"/>
        </w:rPr>
        <w:t>д, является дидактическая игра.</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Дидактическая игра по своей сути – сложное, многогранное явление. Она может выступать в качестве метода обучения, потому что выполняет следующие функции: обучающую (способствует формированию мировоззрения, теоретических знаний и практических умений, расширения кругозора, навыков самообразования и т. д.), развивающую (происходит развитие мышления, активности, памяти, способности выражать свои мысли, а также развития познавательного интереса), воспитывающую (воспитание коллективизма, доброжелательного и уважительного отношения к партнерам и оппонентам по игре), мотивационную (побуждение к применению полученных знаний, умений, проявление инициативы, самостоятельности,</w:t>
      </w:r>
      <w:r>
        <w:rPr>
          <w:rFonts w:ascii="Times New Roman" w:hAnsi="Times New Roman" w:cs="Times New Roman"/>
          <w:sz w:val="28"/>
          <w:szCs w:val="28"/>
        </w:rPr>
        <w:t xml:space="preserve"> коллективного сотрудничества).</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Посредством дидактических игр у учителя появляется возможность контроля и диагностики хода и результата учебного процесса, а так же внесение в него необходимых изменений, т.е. игра в данном случае выполняет ко</w:t>
      </w:r>
      <w:r>
        <w:rPr>
          <w:rFonts w:ascii="Times New Roman" w:hAnsi="Times New Roman" w:cs="Times New Roman"/>
          <w:sz w:val="28"/>
          <w:szCs w:val="28"/>
        </w:rPr>
        <w:t>нтрольно-коррекционную функцию.</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Дидактическая игра может являться и формой обучения, так как она имеет свою структуру организации, выражающуюся в виде согласованной д</w:t>
      </w:r>
      <w:r>
        <w:rPr>
          <w:rFonts w:ascii="Times New Roman" w:hAnsi="Times New Roman" w:cs="Times New Roman"/>
          <w:sz w:val="28"/>
          <w:szCs w:val="28"/>
        </w:rPr>
        <w:t>еятельности учителя и учащихся.</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 xml:space="preserve">Дидактическая игра – это и средство обучения, потому что она является источником получения знаний, формирования умений. Она позволяет пробуждать и поддерживать познавательные интересы учащихся, улучшить </w:t>
      </w:r>
      <w:r>
        <w:rPr>
          <w:rFonts w:ascii="Times New Roman" w:hAnsi="Times New Roman" w:cs="Times New Roman"/>
          <w:sz w:val="28"/>
          <w:szCs w:val="28"/>
        </w:rPr>
        <w:t>наглядность учебного материала.</w:t>
      </w:r>
    </w:p>
    <w:p w:rsidR="00FD5FF8" w:rsidRPr="006D3EC2" w:rsidRDefault="00FD5FF8" w:rsidP="00FD5FF8">
      <w:pPr>
        <w:rPr>
          <w:rFonts w:ascii="Times New Roman" w:hAnsi="Times New Roman" w:cs="Times New Roman"/>
          <w:sz w:val="28"/>
          <w:szCs w:val="28"/>
        </w:rPr>
      </w:pPr>
      <w:r w:rsidRPr="006D3EC2">
        <w:rPr>
          <w:rFonts w:ascii="Times New Roman" w:hAnsi="Times New Roman" w:cs="Times New Roman"/>
          <w:sz w:val="28"/>
          <w:szCs w:val="28"/>
        </w:rPr>
        <w:t xml:space="preserve">В игре практически снимается такое ограничение свободы деятельности, как моральная ответственность за совершенную ошибку. Благодаря атмосфере взаимного доверия, взаимопонимания и сотрудничества создается благоприятная почва для развития самосознания, целенаправленной коррекции поведения учащихся учителем, формирования у них правильной </w:t>
      </w:r>
      <w:r w:rsidRPr="006D3EC2">
        <w:rPr>
          <w:rFonts w:ascii="Times New Roman" w:hAnsi="Times New Roman" w:cs="Times New Roman"/>
          <w:sz w:val="28"/>
          <w:szCs w:val="28"/>
        </w:rPr>
        <w:lastRenderedPageBreak/>
        <w:t>ориентации в системе духовных ценностей. Кроме того, пространственно-временная особенности дидактической игры позволяет придать учебно-игровой деятельности динамичный и насыщенный характер, позволяет увидеть взаимосвязь и взаимообусловленность действий всех участников игры, создает возможность при совершении неверных, ошибочных ходов, снова повторить их, н</w:t>
      </w:r>
      <w:r>
        <w:rPr>
          <w:rFonts w:ascii="Times New Roman" w:hAnsi="Times New Roman" w:cs="Times New Roman"/>
          <w:sz w:val="28"/>
          <w:szCs w:val="28"/>
        </w:rPr>
        <w:t>о уже в скорректированном виде.</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Самое главное – дидактическая задача в дидактической игре скрыта от учащегося, а его внимание обращено на выполнение игровых действий. Задача обучения им не осознается. Все это делает игру особой формой обучения, благодаря которой дети чаще всего непреднамеренно усваивают знания, умения, навыки. Причем взаимоотношения между учащимися и педагогом определяются</w:t>
      </w:r>
      <w:r>
        <w:rPr>
          <w:rFonts w:ascii="Times New Roman" w:hAnsi="Times New Roman" w:cs="Times New Roman"/>
          <w:sz w:val="28"/>
          <w:szCs w:val="28"/>
        </w:rPr>
        <w:t xml:space="preserve"> не учебной ситуацией, а игрой.</w:t>
      </w:r>
    </w:p>
    <w:p w:rsidR="00FD5FF8" w:rsidRPr="006D3EC2"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В процессе игры у детей вырабатывается привычка сосредоточиваться, мыслить самостоятельно, развивать внимание, стремление к знаниям. Увлекшись, учащиеся не замечают, что учатся: познают, запоминают новое, ориентируются в необычных ситуациях, пополняют запас представлени</w:t>
      </w:r>
      <w:r>
        <w:rPr>
          <w:rFonts w:ascii="Times New Roman" w:hAnsi="Times New Roman" w:cs="Times New Roman"/>
          <w:sz w:val="28"/>
          <w:szCs w:val="28"/>
        </w:rPr>
        <w:t>й, понятий, развивают фантазию.</w:t>
      </w:r>
    </w:p>
    <w:p w:rsidR="00FD5FF8" w:rsidRDefault="00FD5FF8" w:rsidP="00FD5FF8">
      <w:pPr>
        <w:rPr>
          <w:rFonts w:ascii="Times New Roman" w:hAnsi="Times New Roman" w:cs="Times New Roman"/>
          <w:sz w:val="28"/>
          <w:szCs w:val="28"/>
        </w:rPr>
      </w:pPr>
      <w:r>
        <w:rPr>
          <w:rFonts w:ascii="Times New Roman" w:hAnsi="Times New Roman" w:cs="Times New Roman"/>
          <w:sz w:val="28"/>
          <w:szCs w:val="28"/>
        </w:rPr>
        <w:t xml:space="preserve">       </w:t>
      </w:r>
      <w:r w:rsidRPr="006D3EC2">
        <w:rPr>
          <w:rFonts w:ascii="Times New Roman" w:hAnsi="Times New Roman" w:cs="Times New Roman"/>
          <w:sz w:val="28"/>
          <w:szCs w:val="28"/>
        </w:rPr>
        <w:t>Дидактические игры на уроках математики – современный и признанный метод обучения и воспитания, обладающий образовательной, развивающей воспитательной функциями, которые действуют в органическом единстве. В процессе игры у детей вырабатывается привычка сосредоточиться, мыслить самостоятельно, развивает внимание, стремление к знаниям. Увлекшись игрой, дети не замечают, что учатся: познают, запоминают новое, ориентируются в необычных</w:t>
      </w:r>
      <w:r>
        <w:rPr>
          <w:rFonts w:ascii="Times New Roman" w:hAnsi="Times New Roman" w:cs="Times New Roman"/>
          <w:sz w:val="28"/>
          <w:szCs w:val="28"/>
        </w:rPr>
        <w:t xml:space="preserve"> ситуациях, развивают фантазию.</w:t>
      </w:r>
    </w:p>
    <w:p w:rsidR="0039305A" w:rsidRPr="0039305A" w:rsidRDefault="0039305A" w:rsidP="0039305A">
      <w:pPr>
        <w:ind w:firstLine="567"/>
        <w:jc w:val="both"/>
        <w:rPr>
          <w:rFonts w:ascii="Times New Roman" w:hAnsi="Times New Roman" w:cs="Times New Roman"/>
          <w:sz w:val="28"/>
          <w:szCs w:val="28"/>
        </w:rPr>
      </w:pPr>
      <w:r w:rsidRPr="0039305A">
        <w:rPr>
          <w:rFonts w:ascii="Times New Roman" w:hAnsi="Times New Roman" w:cs="Times New Roman"/>
          <w:sz w:val="28"/>
          <w:szCs w:val="28"/>
        </w:rPr>
        <w:t xml:space="preserve">Дидактические игры кратковременны (10-20 мин.), и важно, чтобы всё это время не снижалась умственная активность играющих, не падал интерес к поставленной задаче. </w:t>
      </w:r>
    </w:p>
    <w:p w:rsidR="0039305A" w:rsidRPr="006D3EC2" w:rsidRDefault="0039305A" w:rsidP="00416DEC">
      <w:pPr>
        <w:ind w:firstLine="567"/>
        <w:jc w:val="both"/>
        <w:rPr>
          <w:rFonts w:ascii="Times New Roman" w:hAnsi="Times New Roman" w:cs="Times New Roman"/>
          <w:sz w:val="28"/>
          <w:szCs w:val="28"/>
        </w:rPr>
      </w:pPr>
      <w:r w:rsidRPr="0039305A">
        <w:rPr>
          <w:rFonts w:ascii="Times New Roman" w:hAnsi="Times New Roman" w:cs="Times New Roman"/>
          <w:sz w:val="28"/>
          <w:szCs w:val="28"/>
        </w:rPr>
        <w:t xml:space="preserve">Таким образом, необходимо в каждый урок включать игровые моменты,  с целью активизации знаний детей, развития психических процессов. </w:t>
      </w:r>
    </w:p>
    <w:p w:rsidR="00FD5FF8" w:rsidRPr="006D3EC2" w:rsidRDefault="0039305A" w:rsidP="00FD5FF8">
      <w:pPr>
        <w:rPr>
          <w:rFonts w:ascii="Times New Roman" w:hAnsi="Times New Roman" w:cs="Times New Roman"/>
          <w:sz w:val="28"/>
          <w:szCs w:val="28"/>
        </w:rPr>
      </w:pPr>
      <w:r>
        <w:rPr>
          <w:rFonts w:ascii="Times New Roman" w:hAnsi="Times New Roman" w:cs="Times New Roman"/>
          <w:sz w:val="28"/>
          <w:szCs w:val="28"/>
        </w:rPr>
        <w:t xml:space="preserve">      </w:t>
      </w:r>
      <w:r w:rsidR="00FD5FF8" w:rsidRPr="006D3EC2">
        <w:rPr>
          <w:rFonts w:ascii="Times New Roman" w:hAnsi="Times New Roman" w:cs="Times New Roman"/>
          <w:sz w:val="28"/>
          <w:szCs w:val="28"/>
        </w:rPr>
        <w:t>С появлением компьютера и интерактивной доски в современной школе я решила «оживить» дидактические игры: сдел</w:t>
      </w:r>
      <w:r w:rsidR="00FD5FF8">
        <w:rPr>
          <w:rFonts w:ascii="Times New Roman" w:hAnsi="Times New Roman" w:cs="Times New Roman"/>
          <w:sz w:val="28"/>
          <w:szCs w:val="28"/>
        </w:rPr>
        <w:t>ать их яркими и выразительными.</w:t>
      </w:r>
    </w:p>
    <w:p w:rsidR="00FD5FF8" w:rsidRDefault="0039305A" w:rsidP="00FD5FF8">
      <w:pPr>
        <w:rPr>
          <w:rFonts w:ascii="Times New Roman" w:hAnsi="Times New Roman" w:cs="Times New Roman"/>
          <w:sz w:val="28"/>
          <w:szCs w:val="28"/>
        </w:rPr>
      </w:pPr>
      <w:r>
        <w:rPr>
          <w:rFonts w:ascii="Times New Roman" w:hAnsi="Times New Roman" w:cs="Times New Roman"/>
          <w:sz w:val="28"/>
          <w:szCs w:val="28"/>
        </w:rPr>
        <w:t xml:space="preserve">       </w:t>
      </w:r>
      <w:r w:rsidR="00FD5FF8" w:rsidRPr="006D3EC2">
        <w:rPr>
          <w:rFonts w:ascii="Times New Roman" w:hAnsi="Times New Roman" w:cs="Times New Roman"/>
          <w:sz w:val="28"/>
          <w:szCs w:val="28"/>
        </w:rPr>
        <w:t>Данные игры можно использовать на уроках математики на протяжении всего обучения в начальной школе, изменяя содержание игры в зависимости от программного материала.</w:t>
      </w:r>
    </w:p>
    <w:p w:rsidR="00E23C31" w:rsidRDefault="00E23C31" w:rsidP="00E23C31">
      <w:pPr>
        <w:shd w:val="clear" w:color="auto" w:fill="FFFFFF"/>
        <w:spacing w:after="150" w:line="242" w:lineRule="atLeast"/>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lastRenderedPageBreak/>
        <w:t>«Математику уже затем учить надо,</w:t>
      </w:r>
    </w:p>
    <w:p w:rsidR="00E23C31" w:rsidRDefault="00E23C31" w:rsidP="00E23C31">
      <w:pPr>
        <w:shd w:val="clear" w:color="auto" w:fill="FFFFFF"/>
        <w:spacing w:after="150" w:line="242" w:lineRule="atLeast"/>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что она ум в порядок приводит.»</w:t>
      </w:r>
    </w:p>
    <w:p w:rsidR="00FD5FF8" w:rsidRPr="00E23C31" w:rsidRDefault="00E23C31" w:rsidP="00E23C31">
      <w:pPr>
        <w:shd w:val="clear" w:color="auto" w:fill="FFFFFF"/>
        <w:spacing w:after="150" w:line="242" w:lineRule="atLeast"/>
        <w:jc w:val="right"/>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М.В.Ломоносов</w:t>
      </w:r>
    </w:p>
    <w:p w:rsidR="00AE68D3" w:rsidRPr="00874E45" w:rsidRDefault="00AE68D3" w:rsidP="00AE68D3">
      <w:pPr>
        <w:shd w:val="clear" w:color="auto" w:fill="FFFFFF"/>
        <w:spacing w:after="150" w:line="315" w:lineRule="atLeast"/>
        <w:ind w:firstLine="562"/>
        <w:rPr>
          <w:rFonts w:ascii="Times New Roman" w:eastAsia="Times New Roman" w:hAnsi="Times New Roman" w:cs="Times New Roman"/>
          <w:color w:val="000000"/>
          <w:sz w:val="21"/>
          <w:szCs w:val="21"/>
        </w:rPr>
      </w:pPr>
      <w:r w:rsidRPr="00874E45">
        <w:rPr>
          <w:rFonts w:ascii="Times New Roman" w:eastAsia="Times New Roman" w:hAnsi="Times New Roman" w:cs="Times New Roman"/>
          <w:b/>
          <w:bCs/>
          <w:color w:val="000000"/>
          <w:sz w:val="28"/>
          <w:szCs w:val="28"/>
        </w:rPr>
        <w:t>Цель:</w:t>
      </w:r>
      <w:r w:rsidRPr="00874E45">
        <w:rPr>
          <w:rFonts w:ascii="Calibri" w:eastAsia="Times New Roman" w:hAnsi="Calibri" w:cs="Calibri"/>
          <w:color w:val="000000"/>
        </w:rPr>
        <w:t> </w:t>
      </w:r>
      <w:r w:rsidRPr="00874E45">
        <w:rPr>
          <w:rFonts w:ascii="Times New Roman" w:eastAsia="Times New Roman" w:hAnsi="Times New Roman" w:cs="Times New Roman"/>
          <w:color w:val="000000"/>
          <w:sz w:val="28"/>
          <w:szCs w:val="28"/>
        </w:rPr>
        <w:t>создание оптимальных условий для развития математических навыков и способностей учащихся, развитие логического мышления</w:t>
      </w:r>
      <w:r w:rsidR="005C3A02">
        <w:rPr>
          <w:rFonts w:ascii="Times New Roman" w:eastAsia="Times New Roman" w:hAnsi="Times New Roman" w:cs="Times New Roman"/>
          <w:color w:val="000000"/>
          <w:sz w:val="28"/>
          <w:szCs w:val="28"/>
        </w:rPr>
        <w:t>, внимания, памяти</w:t>
      </w:r>
      <w:r w:rsidRPr="00874E45">
        <w:rPr>
          <w:rFonts w:ascii="Times New Roman" w:eastAsia="Times New Roman" w:hAnsi="Times New Roman" w:cs="Times New Roman"/>
          <w:color w:val="000000"/>
          <w:sz w:val="28"/>
          <w:szCs w:val="28"/>
        </w:rPr>
        <w:t>.</w:t>
      </w:r>
    </w:p>
    <w:p w:rsidR="00AE68D3" w:rsidRPr="00874E45" w:rsidRDefault="00AE68D3" w:rsidP="00AE68D3">
      <w:pPr>
        <w:shd w:val="clear" w:color="auto" w:fill="FFFFFF"/>
        <w:spacing w:after="150" w:line="315" w:lineRule="atLeast"/>
        <w:ind w:firstLine="562"/>
        <w:rPr>
          <w:rFonts w:ascii="Times New Roman" w:eastAsia="Times New Roman" w:hAnsi="Times New Roman" w:cs="Times New Roman"/>
          <w:color w:val="000000"/>
          <w:sz w:val="21"/>
          <w:szCs w:val="21"/>
        </w:rPr>
      </w:pPr>
      <w:r w:rsidRPr="00874E45">
        <w:rPr>
          <w:rFonts w:ascii="Times New Roman" w:eastAsia="Times New Roman" w:hAnsi="Times New Roman" w:cs="Times New Roman"/>
          <w:b/>
          <w:bCs/>
          <w:color w:val="000000"/>
          <w:sz w:val="28"/>
          <w:szCs w:val="28"/>
        </w:rPr>
        <w:t>Задачи:</w:t>
      </w:r>
    </w:p>
    <w:p w:rsidR="00AE68D3" w:rsidRDefault="00AE68D3" w:rsidP="00AE68D3">
      <w:pPr>
        <w:shd w:val="clear" w:color="auto" w:fill="FFFFFF"/>
        <w:spacing w:after="150" w:line="315" w:lineRule="atLeast"/>
        <w:ind w:firstLine="562"/>
        <w:rPr>
          <w:rFonts w:ascii="Times New Roman" w:eastAsia="Times New Roman" w:hAnsi="Times New Roman" w:cs="Times New Roman"/>
          <w:color w:val="000000"/>
          <w:sz w:val="28"/>
          <w:szCs w:val="28"/>
        </w:rPr>
      </w:pPr>
      <w:r w:rsidRPr="00874E45">
        <w:rPr>
          <w:rFonts w:ascii="Times New Roman" w:eastAsia="Times New Roman" w:hAnsi="Times New Roman" w:cs="Times New Roman"/>
          <w:b/>
          <w:bCs/>
          <w:color w:val="000000"/>
          <w:sz w:val="28"/>
          <w:szCs w:val="28"/>
        </w:rPr>
        <w:t>-</w:t>
      </w:r>
      <w:r w:rsidRPr="00874E45">
        <w:rPr>
          <w:rFonts w:ascii="Calibri" w:eastAsia="Times New Roman" w:hAnsi="Calibri" w:cs="Calibri"/>
          <w:color w:val="000000"/>
        </w:rPr>
        <w:t> </w:t>
      </w:r>
      <w:r w:rsidRPr="00874E45">
        <w:rPr>
          <w:rFonts w:ascii="Times New Roman" w:eastAsia="Times New Roman" w:hAnsi="Times New Roman" w:cs="Times New Roman"/>
          <w:color w:val="000000"/>
          <w:sz w:val="28"/>
          <w:szCs w:val="28"/>
        </w:rPr>
        <w:t>повысить качество обучения;</w:t>
      </w:r>
    </w:p>
    <w:p w:rsidR="005C3A02" w:rsidRDefault="005C3A02" w:rsidP="00AE68D3">
      <w:pPr>
        <w:shd w:val="clear" w:color="auto" w:fill="FFFFFF"/>
        <w:spacing w:after="150" w:line="315" w:lineRule="atLeast"/>
        <w:ind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-приобщать к предмету в игровой и занимательной форме;</w:t>
      </w:r>
    </w:p>
    <w:p w:rsidR="005C3A02" w:rsidRPr="00416DEC" w:rsidRDefault="00416DEC" w:rsidP="00AE68D3">
      <w:pPr>
        <w:shd w:val="clear" w:color="auto" w:fill="FFFFFF"/>
        <w:spacing w:after="150" w:line="315" w:lineRule="atLeast"/>
        <w:ind w:firstLine="562"/>
        <w:rPr>
          <w:rFonts w:ascii="Times New Roman" w:eastAsia="Times New Roman" w:hAnsi="Times New Roman" w:cs="Times New Roman"/>
          <w:color w:val="000000"/>
          <w:sz w:val="28"/>
          <w:szCs w:val="28"/>
        </w:rPr>
      </w:pPr>
      <w:r w:rsidRPr="00416DEC">
        <w:rPr>
          <w:rFonts w:ascii="Times New Roman" w:eastAsia="Times New Roman" w:hAnsi="Times New Roman" w:cs="Times New Roman"/>
          <w:color w:val="000000"/>
          <w:sz w:val="28"/>
          <w:szCs w:val="28"/>
        </w:rPr>
        <w:t>- мотивация учебной деятельности</w:t>
      </w:r>
      <w:r>
        <w:rPr>
          <w:rFonts w:ascii="Times New Roman" w:eastAsia="Times New Roman" w:hAnsi="Times New Roman" w:cs="Times New Roman"/>
          <w:color w:val="000000"/>
          <w:sz w:val="28"/>
          <w:szCs w:val="28"/>
        </w:rPr>
        <w:t>;</w:t>
      </w:r>
    </w:p>
    <w:p w:rsidR="00AE68D3" w:rsidRPr="00874E45" w:rsidRDefault="00AE68D3" w:rsidP="00AE68D3">
      <w:pPr>
        <w:shd w:val="clear" w:color="auto" w:fill="FFFFFF"/>
        <w:spacing w:after="150" w:line="315" w:lineRule="atLeast"/>
        <w:ind w:firstLine="562"/>
        <w:rPr>
          <w:rFonts w:ascii="Times New Roman" w:eastAsia="Times New Roman" w:hAnsi="Times New Roman" w:cs="Times New Roman"/>
          <w:color w:val="000000"/>
          <w:sz w:val="21"/>
          <w:szCs w:val="21"/>
        </w:rPr>
      </w:pPr>
      <w:r w:rsidRPr="00874E45">
        <w:rPr>
          <w:rFonts w:ascii="Times New Roman" w:eastAsia="Times New Roman" w:hAnsi="Times New Roman" w:cs="Times New Roman"/>
          <w:color w:val="000000"/>
          <w:sz w:val="28"/>
          <w:szCs w:val="28"/>
        </w:rPr>
        <w:t>-способствовать развитию творческих возможностей учащихся;</w:t>
      </w:r>
    </w:p>
    <w:p w:rsidR="00AE68D3" w:rsidRDefault="00AE68D3" w:rsidP="00AE68D3">
      <w:pPr>
        <w:shd w:val="clear" w:color="auto" w:fill="FFFFFF"/>
        <w:spacing w:after="150" w:line="315" w:lineRule="atLeast"/>
        <w:ind w:firstLine="562"/>
        <w:rPr>
          <w:rFonts w:ascii="Times New Roman" w:eastAsia="Times New Roman" w:hAnsi="Times New Roman" w:cs="Times New Roman"/>
          <w:color w:val="000000"/>
          <w:sz w:val="28"/>
          <w:szCs w:val="28"/>
        </w:rPr>
      </w:pPr>
      <w:r w:rsidRPr="00874E45">
        <w:rPr>
          <w:rFonts w:ascii="Times New Roman" w:eastAsia="Times New Roman" w:hAnsi="Times New Roman" w:cs="Times New Roman"/>
          <w:color w:val="000000"/>
          <w:sz w:val="28"/>
          <w:szCs w:val="28"/>
        </w:rPr>
        <w:t>- учить более глубокому пониманию и усв</w:t>
      </w:r>
      <w:r w:rsidR="005C3A02">
        <w:rPr>
          <w:rFonts w:ascii="Times New Roman" w:eastAsia="Times New Roman" w:hAnsi="Times New Roman" w:cs="Times New Roman"/>
          <w:color w:val="000000"/>
          <w:sz w:val="28"/>
          <w:szCs w:val="28"/>
        </w:rPr>
        <w:t xml:space="preserve">оению программного </w:t>
      </w:r>
      <w:r w:rsidRPr="00874E45">
        <w:rPr>
          <w:rFonts w:ascii="Times New Roman" w:eastAsia="Times New Roman" w:hAnsi="Times New Roman" w:cs="Times New Roman"/>
          <w:color w:val="000000"/>
          <w:sz w:val="28"/>
          <w:szCs w:val="28"/>
        </w:rPr>
        <w:t xml:space="preserve"> курса математики.</w:t>
      </w:r>
    </w:p>
    <w:p w:rsidR="00CB74BF" w:rsidRDefault="00CB74BF" w:rsidP="00AE68D3">
      <w:pPr>
        <w:shd w:val="clear" w:color="auto" w:fill="FFFFFF"/>
        <w:spacing w:after="150" w:line="315" w:lineRule="atLeast"/>
        <w:ind w:firstLine="56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Актуальность</w:t>
      </w:r>
    </w:p>
    <w:p w:rsidR="00CB74BF" w:rsidRPr="00CB74BF" w:rsidRDefault="00CB74BF" w:rsidP="00AE68D3">
      <w:pPr>
        <w:shd w:val="clear" w:color="auto" w:fill="FFFFFF"/>
        <w:spacing w:after="150" w:line="315" w:lineRule="atLeast"/>
        <w:ind w:firstLine="562"/>
        <w:rPr>
          <w:rFonts w:ascii="Times New Roman" w:eastAsia="Times New Roman" w:hAnsi="Times New Roman" w:cs="Times New Roman"/>
          <w:color w:val="000000"/>
          <w:sz w:val="28"/>
          <w:szCs w:val="28"/>
        </w:rPr>
      </w:pPr>
      <w:r w:rsidRPr="00CB74BF">
        <w:rPr>
          <w:rFonts w:ascii="Times New Roman" w:eastAsia="Times New Roman" w:hAnsi="Times New Roman" w:cs="Times New Roman"/>
          <w:color w:val="000000"/>
          <w:sz w:val="28"/>
          <w:szCs w:val="28"/>
        </w:rPr>
        <w:t xml:space="preserve">Дидактическая игра </w:t>
      </w:r>
      <w:r>
        <w:rPr>
          <w:rFonts w:ascii="Times New Roman" w:eastAsia="Times New Roman" w:hAnsi="Times New Roman" w:cs="Times New Roman"/>
          <w:color w:val="000000"/>
          <w:sz w:val="28"/>
          <w:szCs w:val="28"/>
        </w:rPr>
        <w:t>дает возможность решать педагогические задачи в игровой форме, наиболее доступной для школьников.  Ценность дидактических игр заключается в том, что они создаются в обучающих целях. Благодаря их использованию  можно добавить более прочных и осознанных знаний, умений и навыков. Дидактическая игра будит детское воображение. Создаёт приподнятое настро</w:t>
      </w:r>
      <w:r w:rsidR="00550B4B">
        <w:rPr>
          <w:rFonts w:ascii="Times New Roman" w:eastAsia="Times New Roman" w:hAnsi="Times New Roman" w:cs="Times New Roman"/>
          <w:color w:val="000000"/>
          <w:sz w:val="28"/>
          <w:szCs w:val="28"/>
        </w:rPr>
        <w:t>ение. Ребёнок, увлечённый игрой, не замечает того, что учится, хотя то и дело сталкивается с заданиями, которые требуют от него мыслительных навыков.</w:t>
      </w:r>
    </w:p>
    <w:p w:rsidR="00E23C31" w:rsidRPr="00E23C31" w:rsidRDefault="00E23C31" w:rsidP="00E23C31">
      <w:pPr>
        <w:jc w:val="both"/>
        <w:rPr>
          <w:rFonts w:ascii="Times New Roman" w:hAnsi="Times New Roman" w:cs="Times New Roman"/>
          <w:b/>
          <w:sz w:val="28"/>
          <w:szCs w:val="28"/>
        </w:rPr>
      </w:pPr>
      <w:r w:rsidRPr="00E23C31">
        <w:rPr>
          <w:rFonts w:ascii="Times New Roman" w:hAnsi="Times New Roman" w:cs="Times New Roman"/>
          <w:b/>
          <w:sz w:val="28"/>
          <w:szCs w:val="28"/>
        </w:rPr>
        <w:t>Результативность использования дидактических игр</w:t>
      </w:r>
    </w:p>
    <w:p w:rsidR="00E23C31" w:rsidRPr="00E23C31" w:rsidRDefault="00E23C31" w:rsidP="00E23C31">
      <w:pPr>
        <w:ind w:firstLine="567"/>
        <w:jc w:val="both"/>
        <w:rPr>
          <w:rFonts w:ascii="Times New Roman" w:hAnsi="Times New Roman" w:cs="Times New Roman"/>
          <w:sz w:val="28"/>
          <w:szCs w:val="28"/>
        </w:rPr>
      </w:pPr>
      <w:r w:rsidRPr="00E23C31">
        <w:rPr>
          <w:rFonts w:ascii="Times New Roman" w:hAnsi="Times New Roman" w:cs="Times New Roman"/>
          <w:sz w:val="28"/>
          <w:szCs w:val="28"/>
        </w:rPr>
        <w:t>Использование игровой формы на уроках позволяет развивать творческие способности учащихся, способствует росту умственной активности детей. Такие уроки развивают коммуникативные навыки, помогают четко выражать детям свои мысли, воспитывает культуру общения, повышают уровень самостоятельности в процессе овладения знаниями. Наряду с этим дети учатся сравнивать, анализировать. Повышается интерес и эмоциональный комфорт при работе над нестандартными творческими заданиями.</w:t>
      </w:r>
    </w:p>
    <w:p w:rsidR="00E23C31" w:rsidRPr="00E23C31" w:rsidRDefault="00E23C31" w:rsidP="00E23C31">
      <w:pPr>
        <w:ind w:firstLine="567"/>
        <w:jc w:val="both"/>
        <w:rPr>
          <w:rFonts w:ascii="Times New Roman" w:hAnsi="Times New Roman" w:cs="Times New Roman"/>
          <w:sz w:val="28"/>
          <w:szCs w:val="28"/>
        </w:rPr>
      </w:pPr>
      <w:r w:rsidRPr="00E23C31">
        <w:rPr>
          <w:rFonts w:ascii="Times New Roman" w:hAnsi="Times New Roman" w:cs="Times New Roman"/>
          <w:sz w:val="28"/>
          <w:szCs w:val="28"/>
        </w:rPr>
        <w:t>Подводя итог всему выше изложенному, у учащихся повышается интерес к предмету, улучшается успеваемость.</w:t>
      </w:r>
    </w:p>
    <w:p w:rsidR="00E23C31" w:rsidRPr="00E23C31" w:rsidRDefault="00E23C31" w:rsidP="00E23C31">
      <w:pPr>
        <w:rPr>
          <w:rFonts w:ascii="Times New Roman" w:hAnsi="Times New Roman" w:cs="Times New Roman"/>
          <w:sz w:val="28"/>
          <w:szCs w:val="28"/>
        </w:rPr>
      </w:pPr>
    </w:p>
    <w:p w:rsidR="00911B8E" w:rsidRPr="005A2DD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b/>
          <w:sz w:val="28"/>
          <w:szCs w:val="28"/>
        </w:rPr>
      </w:pPr>
      <w:r w:rsidRPr="00245D3B">
        <w:rPr>
          <w:rFonts w:ascii="Times New Roman" w:hAnsi="Times New Roman" w:cs="Times New Roman"/>
          <w:b/>
          <w:sz w:val="28"/>
          <w:szCs w:val="28"/>
        </w:rPr>
        <w:lastRenderedPageBreak/>
        <w:t>«Сундучок</w:t>
      </w:r>
      <w:r>
        <w:rPr>
          <w:rFonts w:ascii="Times New Roman" w:hAnsi="Times New Roman" w:cs="Times New Roman"/>
          <w:b/>
          <w:sz w:val="28"/>
          <w:szCs w:val="28"/>
        </w:rPr>
        <w:t>»</w:t>
      </w: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r>
        <w:rPr>
          <w:rFonts w:ascii="Times New Roman" w:hAnsi="Times New Roman" w:cs="Times New Roman"/>
          <w:b/>
          <w:i/>
          <w:noProof/>
          <w:sz w:val="28"/>
          <w:szCs w:val="28"/>
        </w:rPr>
        <w:drawing>
          <wp:inline distT="0" distB="0" distL="0" distR="0">
            <wp:extent cx="4581525" cy="34194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вычислительных навыков, памяти, закрепление учебного материала умножение и деление круглых десятков и сотен.</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Описание: соревнование между рядами: вычислить и найти ответы из сундучка.</w:t>
      </w: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b/>
          <w:sz w:val="28"/>
          <w:szCs w:val="28"/>
        </w:rPr>
      </w:pPr>
      <w:r w:rsidRPr="00245D3B">
        <w:rPr>
          <w:rFonts w:ascii="Times New Roman" w:hAnsi="Times New Roman" w:cs="Times New Roman"/>
          <w:b/>
          <w:sz w:val="28"/>
          <w:szCs w:val="28"/>
        </w:rPr>
        <w:t>«Доли»</w:t>
      </w:r>
    </w:p>
    <w:p w:rsidR="00911B8E" w:rsidRPr="00245D3B" w:rsidRDefault="00911B8E" w:rsidP="00911B8E">
      <w:pPr>
        <w:rPr>
          <w:rFonts w:ascii="Times New Roman" w:hAnsi="Times New Roman" w:cs="Times New Roman"/>
          <w:b/>
          <w:sz w:val="28"/>
          <w:szCs w:val="28"/>
        </w:rPr>
      </w:pPr>
    </w:p>
    <w:p w:rsidR="00911B8E" w:rsidRPr="00245D3B" w:rsidRDefault="00911B8E" w:rsidP="00911B8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81525" cy="34194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зрительного внимания, памяти, закрепление учебного материала по нахождению доли числа.</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 xml:space="preserve">Описание: нужно определить какую часть </w:t>
      </w:r>
      <w:r>
        <w:rPr>
          <w:rFonts w:ascii="Times New Roman" w:hAnsi="Times New Roman" w:cs="Times New Roman"/>
          <w:sz w:val="28"/>
          <w:szCs w:val="28"/>
        </w:rPr>
        <w:t xml:space="preserve">фигуры </w:t>
      </w:r>
      <w:r w:rsidRPr="00245D3B">
        <w:rPr>
          <w:rFonts w:ascii="Times New Roman" w:hAnsi="Times New Roman" w:cs="Times New Roman"/>
          <w:sz w:val="28"/>
          <w:szCs w:val="28"/>
        </w:rPr>
        <w:t>закрасили.</w:t>
      </w:r>
    </w:p>
    <w:p w:rsidR="00911B8E" w:rsidRPr="00245D3B"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b/>
          <w:sz w:val="28"/>
          <w:szCs w:val="28"/>
        </w:rPr>
      </w:pPr>
      <w:r w:rsidRPr="00245D3B">
        <w:rPr>
          <w:rFonts w:ascii="Times New Roman" w:hAnsi="Times New Roman" w:cs="Times New Roman"/>
          <w:b/>
          <w:sz w:val="28"/>
          <w:szCs w:val="28"/>
        </w:rPr>
        <w:lastRenderedPageBreak/>
        <w:t>«Тройка чисел»</w:t>
      </w:r>
    </w:p>
    <w:p w:rsidR="00911B8E" w:rsidRPr="00245D3B" w:rsidRDefault="00911B8E" w:rsidP="00911B8E">
      <w:pPr>
        <w:rPr>
          <w:rFonts w:ascii="Times New Roman" w:hAnsi="Times New Roman" w:cs="Times New Roman"/>
          <w:b/>
          <w:sz w:val="28"/>
          <w:szCs w:val="28"/>
        </w:rPr>
      </w:pPr>
    </w:p>
    <w:p w:rsidR="00911B8E" w:rsidRPr="00245D3B" w:rsidRDefault="00911B8E" w:rsidP="00911B8E">
      <w:pPr>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4581525" cy="3419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внимания, зрительного восприятия, закрепление учебного материала.</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Описание: выбрать по три числа, чтобы записать указанную сумму.</w:t>
      </w: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b/>
          <w:sz w:val="28"/>
          <w:szCs w:val="28"/>
        </w:rPr>
      </w:pPr>
      <w:r w:rsidRPr="00245D3B">
        <w:rPr>
          <w:rFonts w:ascii="Times New Roman" w:hAnsi="Times New Roman" w:cs="Times New Roman"/>
          <w:b/>
          <w:sz w:val="28"/>
          <w:szCs w:val="28"/>
        </w:rPr>
        <w:lastRenderedPageBreak/>
        <w:t>«Квадрат числа»</w:t>
      </w:r>
    </w:p>
    <w:p w:rsidR="00911B8E" w:rsidRPr="00245D3B" w:rsidRDefault="00911B8E" w:rsidP="00911B8E">
      <w:pPr>
        <w:rPr>
          <w:rFonts w:ascii="Times New Roman" w:hAnsi="Times New Roman" w:cs="Times New Roman"/>
          <w:b/>
          <w:sz w:val="28"/>
          <w:szCs w:val="28"/>
        </w:rPr>
      </w:pPr>
    </w:p>
    <w:p w:rsidR="00911B8E" w:rsidRPr="00245D3B" w:rsidRDefault="00911B8E" w:rsidP="00911B8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81525" cy="34194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внимания, памяти, закрепление учебного материала по квадрату числа.</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 xml:space="preserve">Описание: найти соответствующий квадрат числа. </w:t>
      </w: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81525" cy="34194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зрительного внимания, памяти, закрепление учебного материала особых случаев умножения и деления на 1,0.</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Описание: расставить знаки &gt;, &lt;, =.</w:t>
      </w: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81525" cy="34194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внимания, зрительного восприятия, закрепление учебного материала по разрядным слагаемым.</w:t>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Описание: дети подбирают к тучке капельку с таким же числом.</w:t>
      </w: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p>
    <w:p w:rsidR="00911B8E" w:rsidRPr="00245D3B" w:rsidRDefault="00911B8E" w:rsidP="00911B8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81525" cy="34194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911B8E" w:rsidRPr="00245D3B"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Цель: развитие внимания, памяти, закрепление учебного материала по таблице умножения.</w:t>
      </w:r>
    </w:p>
    <w:p w:rsidR="00911B8E" w:rsidRDefault="00911B8E" w:rsidP="00911B8E">
      <w:pPr>
        <w:rPr>
          <w:rFonts w:ascii="Times New Roman" w:hAnsi="Times New Roman" w:cs="Times New Roman"/>
          <w:sz w:val="28"/>
          <w:szCs w:val="28"/>
        </w:rPr>
      </w:pPr>
      <w:r w:rsidRPr="00245D3B">
        <w:rPr>
          <w:rFonts w:ascii="Times New Roman" w:hAnsi="Times New Roman" w:cs="Times New Roman"/>
          <w:sz w:val="28"/>
          <w:szCs w:val="28"/>
        </w:rPr>
        <w:t>Описание: Найти под каким номером рыбак поймал боль</w:t>
      </w:r>
      <w:r>
        <w:rPr>
          <w:rFonts w:ascii="Times New Roman" w:hAnsi="Times New Roman" w:cs="Times New Roman"/>
          <w:sz w:val="28"/>
          <w:szCs w:val="28"/>
        </w:rPr>
        <w:t>ше рыбок.</w:t>
      </w: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911B8E" w:rsidRDefault="00911B8E" w:rsidP="00911B8E">
      <w:pPr>
        <w:jc w:val="center"/>
        <w:rPr>
          <w:rFonts w:ascii="Times New Roman" w:hAnsi="Times New Roman" w:cs="Times New Roman"/>
          <w:b/>
          <w:sz w:val="28"/>
          <w:szCs w:val="28"/>
        </w:rPr>
      </w:pPr>
    </w:p>
    <w:p w:rsidR="00B24ED9" w:rsidRPr="005A2DDB" w:rsidRDefault="005E384C" w:rsidP="00911B8E">
      <w:pPr>
        <w:jc w:val="center"/>
        <w:rPr>
          <w:rFonts w:ascii="Times New Roman" w:hAnsi="Times New Roman" w:cs="Times New Roman"/>
          <w:b/>
          <w:sz w:val="28"/>
          <w:szCs w:val="28"/>
        </w:rPr>
      </w:pPr>
      <w:r w:rsidRPr="005E384C">
        <w:rPr>
          <w:rFonts w:ascii="Times New Roman" w:hAnsi="Times New Roman" w:cs="Times New Roman"/>
          <w:b/>
          <w:noProof/>
          <w:sz w:val="28"/>
          <w:szCs w:val="28"/>
        </w:rPr>
        <w:lastRenderedPageBreak/>
        <w:drawing>
          <wp:inline distT="0" distB="0" distL="0" distR="0">
            <wp:extent cx="4933950" cy="2838450"/>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257800"/>
                      <a:chOff x="457200" y="457200"/>
                      <a:chExt cx="8229600" cy="5257800"/>
                    </a:xfrm>
                  </a:grpSpPr>
                  <a:sp>
                    <a:nvSpPr>
                      <a:cNvPr id="11266" name="Заголовок 1"/>
                      <a:cNvSpPr>
                        <a:spLocks noGrp="1"/>
                      </a:cNvSpPr>
                    </a:nvSpPr>
                    <a:spPr bwMode="auto">
                      <a:xfrm>
                        <a:off x="457200" y="457200"/>
                        <a:ext cx="8229600" cy="13716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l" rtl="0" eaLnBrk="0" fontAlgn="base" hangingPunct="0">
                            <a:spcBef>
                              <a:spcPct val="0"/>
                            </a:spcBef>
                            <a:spcAft>
                              <a:spcPct val="0"/>
                            </a:spcAft>
                            <a:defRPr sz="4400">
                              <a:solidFill>
                                <a:schemeClr val="tx1"/>
                              </a:solidFill>
                              <a:latin typeface="+mj-lt"/>
                              <a:ea typeface="+mj-ea"/>
                              <a:cs typeface="+mj-cs"/>
                            </a:defRPr>
                          </a:lvl1pPr>
                          <a:lvl2pPr algn="l" rtl="0" eaLnBrk="0" fontAlgn="base" hangingPunct="0">
                            <a:spcBef>
                              <a:spcPct val="0"/>
                            </a:spcBef>
                            <a:spcAft>
                              <a:spcPct val="0"/>
                            </a:spcAft>
                            <a:defRPr sz="4400">
                              <a:solidFill>
                                <a:schemeClr val="tx1"/>
                              </a:solidFill>
                              <a:latin typeface="Arial" charset="0"/>
                              <a:cs typeface="Arial" charset="0"/>
                            </a:defRPr>
                          </a:lvl2pPr>
                          <a:lvl3pPr algn="l" rtl="0" eaLnBrk="0" fontAlgn="base" hangingPunct="0">
                            <a:spcBef>
                              <a:spcPct val="0"/>
                            </a:spcBef>
                            <a:spcAft>
                              <a:spcPct val="0"/>
                            </a:spcAft>
                            <a:defRPr sz="4400">
                              <a:solidFill>
                                <a:schemeClr val="tx1"/>
                              </a:solidFill>
                              <a:latin typeface="Arial" charset="0"/>
                              <a:cs typeface="Arial" charset="0"/>
                            </a:defRPr>
                          </a:lvl3pPr>
                          <a:lvl4pPr algn="l" rtl="0" eaLnBrk="0" fontAlgn="base" hangingPunct="0">
                            <a:spcBef>
                              <a:spcPct val="0"/>
                            </a:spcBef>
                            <a:spcAft>
                              <a:spcPct val="0"/>
                            </a:spcAft>
                            <a:defRPr sz="4400">
                              <a:solidFill>
                                <a:schemeClr val="tx1"/>
                              </a:solidFill>
                              <a:latin typeface="Arial" charset="0"/>
                              <a:cs typeface="Arial" charset="0"/>
                            </a:defRPr>
                          </a:lvl4pPr>
                          <a:lvl5pPr algn="l" rtl="0" eaLnBrk="0" fontAlgn="base" hangingPunct="0">
                            <a:spcBef>
                              <a:spcPct val="0"/>
                            </a:spcBef>
                            <a:spcAft>
                              <a:spcPct val="0"/>
                            </a:spcAft>
                            <a:defRPr sz="4400">
                              <a:solidFill>
                                <a:schemeClr val="tx1"/>
                              </a:solidFill>
                              <a:latin typeface="Arial" charset="0"/>
                              <a:cs typeface="Arial" charset="0"/>
                            </a:defRPr>
                          </a:lvl5pPr>
                          <a:lvl6pPr marL="457200" algn="l" rtl="0" fontAlgn="base">
                            <a:spcBef>
                              <a:spcPct val="0"/>
                            </a:spcBef>
                            <a:spcAft>
                              <a:spcPct val="0"/>
                            </a:spcAft>
                            <a:defRPr sz="4400">
                              <a:solidFill>
                                <a:schemeClr val="tx1"/>
                              </a:solidFill>
                              <a:latin typeface="Arial" charset="0"/>
                              <a:cs typeface="Arial" charset="0"/>
                            </a:defRPr>
                          </a:lvl6pPr>
                          <a:lvl7pPr marL="914400" algn="l" rtl="0" fontAlgn="base">
                            <a:spcBef>
                              <a:spcPct val="0"/>
                            </a:spcBef>
                            <a:spcAft>
                              <a:spcPct val="0"/>
                            </a:spcAft>
                            <a:defRPr sz="4400">
                              <a:solidFill>
                                <a:schemeClr val="tx1"/>
                              </a:solidFill>
                              <a:latin typeface="Arial" charset="0"/>
                              <a:cs typeface="Arial" charset="0"/>
                            </a:defRPr>
                          </a:lvl7pPr>
                          <a:lvl8pPr marL="1371600" algn="l" rtl="0" fontAlgn="base">
                            <a:spcBef>
                              <a:spcPct val="0"/>
                            </a:spcBef>
                            <a:spcAft>
                              <a:spcPct val="0"/>
                            </a:spcAft>
                            <a:defRPr sz="4400">
                              <a:solidFill>
                                <a:schemeClr val="tx1"/>
                              </a:solidFill>
                              <a:latin typeface="Arial" charset="0"/>
                              <a:cs typeface="Arial" charset="0"/>
                            </a:defRPr>
                          </a:lvl8pPr>
                          <a:lvl9pPr marL="1828800" algn="l" rtl="0" fontAlgn="base">
                            <a:spcBef>
                              <a:spcPct val="0"/>
                            </a:spcBef>
                            <a:spcAft>
                              <a:spcPct val="0"/>
                            </a:spcAft>
                            <a:defRPr sz="4400">
                              <a:solidFill>
                                <a:schemeClr val="tx1"/>
                              </a:solidFill>
                              <a:latin typeface="Arial" charset="0"/>
                              <a:cs typeface="Arial" charset="0"/>
                            </a:defRPr>
                          </a:lvl9pPr>
                        </a:lstStyle>
                        <a:p>
                          <a:r>
                            <a:rPr lang="ru-RU" smtClean="0"/>
                            <a:t>«Разноцветные клеточки»</a:t>
                          </a:r>
                        </a:p>
                      </a:txBody>
                      <a:useSpRect/>
                    </a:txSp>
                  </a:sp>
                  <a:pic>
                    <a:nvPicPr>
                      <a:cNvPr id="11267" name="Содержимое 9" descr="_web-12016_2.eps.jpg"/>
                      <a:cNvPicPr>
                        <a:picLocks noGrp="1" noChangeAspect="1"/>
                      </a:cNvPicPr>
                    </a:nvPicPr>
                    <a:blipFill>
                      <a:blip r:embed="rId15"/>
                      <a:srcRect/>
                      <a:stretch>
                        <a:fillRect/>
                      </a:stretch>
                    </a:blipFill>
                    <a:spPr bwMode="auto">
                      <a:xfrm>
                        <a:off x="1905000" y="1828800"/>
                        <a:ext cx="5027613" cy="3886200"/>
                      </a:xfrm>
                      <a:prstGeom prst="rect">
                        <a:avLst/>
                      </a:prstGeom>
                      <a:solidFill>
                        <a:srgbClr val="FF0000"/>
                      </a:solidFill>
                      <a:ln w="9525">
                        <a:solidFill>
                          <a:schemeClr val="bg1"/>
                        </a:solidFill>
                        <a:miter lim="800000"/>
                        <a:headEnd/>
                        <a:tailEnd/>
                      </a:ln>
                    </a:spPr>
                  </a:pic>
                  <a:sp>
                    <a:nvSpPr>
                      <a:cNvPr id="11" name="Прямоугольник 10"/>
                      <a:cNvSpPr>
                        <a:spLocks noChangeArrowheads="1"/>
                      </a:cNvSpPr>
                    </a:nvSpPr>
                    <a:spPr bwMode="auto">
                      <a:xfrm>
                        <a:off x="2209800" y="2057400"/>
                        <a:ext cx="1066800" cy="1066800"/>
                      </a:xfrm>
                      <a:prstGeom prst="rect">
                        <a:avLst/>
                      </a:prstGeom>
                      <a:solidFill>
                        <a:srgbClr val="FF000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 name="Прямоугольник 11"/>
                      <a:cNvSpPr>
                        <a:spLocks noChangeArrowheads="1"/>
                      </a:cNvSpPr>
                    </a:nvSpPr>
                    <a:spPr bwMode="auto">
                      <a:xfrm>
                        <a:off x="3276600" y="3200400"/>
                        <a:ext cx="1143000" cy="1143000"/>
                      </a:xfrm>
                      <a:prstGeom prst="rect">
                        <a:avLst/>
                      </a:prstGeom>
                      <a:solidFill>
                        <a:srgbClr val="FFFF0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3" name="Прямоугольник 12"/>
                      <a:cNvSpPr>
                        <a:spLocks noChangeArrowheads="1"/>
                      </a:cNvSpPr>
                    </a:nvSpPr>
                    <a:spPr bwMode="auto">
                      <a:xfrm>
                        <a:off x="5562600" y="2057400"/>
                        <a:ext cx="1143000" cy="1066800"/>
                      </a:xfrm>
                      <a:prstGeom prst="rect">
                        <a:avLst/>
                      </a:prstGeom>
                      <a:solidFill>
                        <a:srgbClr val="00B05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4" name="Прямоугольник 13"/>
                      <a:cNvSpPr/>
                    </a:nvSpPr>
                    <a:spPr bwMode="auto">
                      <a:xfrm>
                        <a:off x="5562600" y="4343400"/>
                        <a:ext cx="1066800" cy="1143000"/>
                      </a:xfrm>
                      <a:prstGeom prst="rect">
                        <a:avLst/>
                      </a:prstGeom>
                      <a:solidFill>
                        <a:schemeClr val="accent5">
                          <a:lumMod val="50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pPr>
                            <a:defRPr/>
                          </a:pPr>
                          <a:endParaRPr lang="ru-RU"/>
                        </a:p>
                      </a:txBody>
                      <a:useSpRect/>
                    </a:txSp>
                  </a:sp>
                  <a:sp>
                    <a:nvSpPr>
                      <a:cNvPr id="15" name="Прямоугольник 14"/>
                      <a:cNvSpPr>
                        <a:spLocks noChangeArrowheads="1"/>
                      </a:cNvSpPr>
                    </a:nvSpPr>
                    <a:spPr bwMode="auto">
                      <a:xfrm>
                        <a:off x="2209800" y="4343400"/>
                        <a:ext cx="1066800" cy="1143000"/>
                      </a:xfrm>
                      <a:prstGeom prst="rect">
                        <a:avLst/>
                      </a:prstGeom>
                      <a:solidFill>
                        <a:srgbClr val="00B0F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lc:lockedCanvas>
              </a:graphicData>
            </a:graphic>
          </wp:inline>
        </w:drawing>
      </w:r>
    </w:p>
    <w:p w:rsidR="00B24ED9" w:rsidRDefault="00B24ED9"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11343A" w:rsidRPr="0011343A" w:rsidRDefault="0011343A" w:rsidP="0011343A">
      <w:pPr>
        <w:pStyle w:val="a9"/>
        <w:rPr>
          <w:rFonts w:ascii="Times New Roman" w:hAnsi="Times New Roman" w:cs="Times New Roman"/>
          <w:sz w:val="28"/>
          <w:szCs w:val="28"/>
        </w:rPr>
      </w:pPr>
      <w:r w:rsidRPr="00245D3B">
        <w:rPr>
          <w:rFonts w:ascii="Times New Roman" w:hAnsi="Times New Roman" w:cs="Times New Roman"/>
          <w:sz w:val="28"/>
          <w:szCs w:val="28"/>
        </w:rPr>
        <w:t>Цель</w:t>
      </w:r>
      <w:r w:rsidRPr="0011343A">
        <w:rPr>
          <w:rFonts w:ascii="Times New Roman" w:hAnsi="Times New Roman" w:cs="Times New Roman"/>
          <w:sz w:val="28"/>
          <w:szCs w:val="28"/>
        </w:rPr>
        <w:t>: развитие пространственных представлений о расположении объектов по вертикальной оси, развитие умения самостоятельного употребления слов, обозначающих расположение в пространстве.</w:t>
      </w:r>
    </w:p>
    <w:p w:rsidR="0011343A" w:rsidRDefault="0011343A" w:rsidP="0011343A">
      <w:pPr>
        <w:rPr>
          <w:rFonts w:ascii="Times New Roman" w:hAnsi="Times New Roman" w:cs="Times New Roman"/>
          <w:sz w:val="28"/>
          <w:szCs w:val="28"/>
        </w:rPr>
      </w:pPr>
      <w:r w:rsidRPr="00245D3B">
        <w:rPr>
          <w:rFonts w:ascii="Times New Roman" w:hAnsi="Times New Roman" w:cs="Times New Roman"/>
          <w:sz w:val="28"/>
          <w:szCs w:val="28"/>
        </w:rPr>
        <w:t xml:space="preserve">Описание: </w:t>
      </w:r>
      <w:r>
        <w:rPr>
          <w:rFonts w:ascii="Times New Roman" w:hAnsi="Times New Roman" w:cs="Times New Roman"/>
          <w:sz w:val="28"/>
          <w:szCs w:val="28"/>
        </w:rPr>
        <w:t>1. Закрась красным цветом клеточку в верхнем левом углу;</w:t>
      </w:r>
    </w:p>
    <w:p w:rsidR="0011343A" w:rsidRDefault="0011343A" w:rsidP="0011343A">
      <w:pPr>
        <w:rPr>
          <w:rFonts w:ascii="Times New Roman" w:hAnsi="Times New Roman" w:cs="Times New Roman"/>
          <w:sz w:val="28"/>
          <w:szCs w:val="28"/>
        </w:rPr>
      </w:pPr>
      <w:r>
        <w:rPr>
          <w:rFonts w:ascii="Times New Roman" w:hAnsi="Times New Roman" w:cs="Times New Roman"/>
          <w:sz w:val="28"/>
          <w:szCs w:val="28"/>
        </w:rPr>
        <w:t xml:space="preserve">                   2. Закрась желтым цветом 2-ю клеточку во втором ряду;</w:t>
      </w:r>
    </w:p>
    <w:p w:rsidR="005E384C" w:rsidRDefault="0011343A" w:rsidP="0011343A">
      <w:pPr>
        <w:rPr>
          <w:rFonts w:ascii="Times New Roman" w:hAnsi="Times New Roman" w:cs="Times New Roman"/>
          <w:sz w:val="28"/>
          <w:szCs w:val="28"/>
        </w:rPr>
      </w:pPr>
      <w:r>
        <w:rPr>
          <w:rFonts w:ascii="Times New Roman" w:hAnsi="Times New Roman" w:cs="Times New Roman"/>
          <w:sz w:val="28"/>
          <w:szCs w:val="28"/>
        </w:rPr>
        <w:t xml:space="preserve">                   3. Закрась зеленым цветом клеточку в верхнем правом углу;</w:t>
      </w:r>
    </w:p>
    <w:p w:rsidR="0011343A" w:rsidRDefault="0011343A" w:rsidP="0011343A">
      <w:pPr>
        <w:rPr>
          <w:rFonts w:ascii="Times New Roman" w:hAnsi="Times New Roman" w:cs="Times New Roman"/>
          <w:sz w:val="28"/>
          <w:szCs w:val="28"/>
        </w:rPr>
      </w:pPr>
      <w:r>
        <w:rPr>
          <w:rFonts w:ascii="Times New Roman" w:hAnsi="Times New Roman" w:cs="Times New Roman"/>
          <w:sz w:val="28"/>
          <w:szCs w:val="28"/>
        </w:rPr>
        <w:t xml:space="preserve">                   4. Закрась синим цветом клеточку в нижнем правом углу;</w:t>
      </w:r>
    </w:p>
    <w:p w:rsidR="0011343A" w:rsidRDefault="0011343A" w:rsidP="0011343A">
      <w:pPr>
        <w:rPr>
          <w:rFonts w:ascii="Times New Roman" w:hAnsi="Times New Roman" w:cs="Times New Roman"/>
          <w:b/>
          <w:sz w:val="28"/>
          <w:szCs w:val="28"/>
        </w:rPr>
      </w:pPr>
      <w:r>
        <w:rPr>
          <w:rFonts w:ascii="Times New Roman" w:hAnsi="Times New Roman" w:cs="Times New Roman"/>
          <w:sz w:val="28"/>
          <w:szCs w:val="28"/>
        </w:rPr>
        <w:t xml:space="preserve">                   5. Закрась голубым цветом клеточку в нижнем левом углу.</w:t>
      </w: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11343A">
      <w:pP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311EB9" w:rsidP="00911B8E">
      <w:pPr>
        <w:jc w:val="center"/>
        <w:rPr>
          <w:rFonts w:ascii="Times New Roman" w:hAnsi="Times New Roman" w:cs="Times New Roman"/>
          <w:b/>
          <w:sz w:val="28"/>
          <w:szCs w:val="28"/>
        </w:rPr>
      </w:pPr>
      <w:r w:rsidRPr="00311EB9">
        <w:rPr>
          <w:rFonts w:ascii="Times New Roman" w:hAnsi="Times New Roman" w:cs="Times New Roman"/>
          <w:b/>
          <w:sz w:val="28"/>
          <w:szCs w:val="28"/>
        </w:rPr>
        <w:drawing>
          <wp:inline distT="0" distB="0" distL="0" distR="0">
            <wp:extent cx="5168900" cy="3276600"/>
            <wp:effectExtent l="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562600"/>
                      <a:chOff x="457200" y="457200"/>
                      <a:chExt cx="8305800" cy="5562600"/>
                    </a:xfrm>
                  </a:grpSpPr>
                  <a:sp>
                    <a:nvSpPr>
                      <a:cNvPr id="12290" name="Заголовок 1"/>
                      <a:cNvSpPr>
                        <a:spLocks noGrp="1"/>
                      </a:cNvSpPr>
                    </a:nvSpPr>
                    <a:spPr bwMode="auto">
                      <a:xfrm>
                        <a:off x="457200" y="457200"/>
                        <a:ext cx="8229600" cy="13716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l" rtl="0" eaLnBrk="0" fontAlgn="base" hangingPunct="0">
                            <a:spcBef>
                              <a:spcPct val="0"/>
                            </a:spcBef>
                            <a:spcAft>
                              <a:spcPct val="0"/>
                            </a:spcAft>
                            <a:defRPr sz="4400">
                              <a:solidFill>
                                <a:schemeClr val="tx1"/>
                              </a:solidFill>
                              <a:latin typeface="+mj-lt"/>
                              <a:ea typeface="+mj-ea"/>
                              <a:cs typeface="+mj-cs"/>
                            </a:defRPr>
                          </a:lvl1pPr>
                          <a:lvl2pPr algn="l" rtl="0" eaLnBrk="0" fontAlgn="base" hangingPunct="0">
                            <a:spcBef>
                              <a:spcPct val="0"/>
                            </a:spcBef>
                            <a:spcAft>
                              <a:spcPct val="0"/>
                            </a:spcAft>
                            <a:defRPr sz="4400">
                              <a:solidFill>
                                <a:schemeClr val="tx1"/>
                              </a:solidFill>
                              <a:latin typeface="Arial" charset="0"/>
                              <a:cs typeface="Arial" charset="0"/>
                            </a:defRPr>
                          </a:lvl2pPr>
                          <a:lvl3pPr algn="l" rtl="0" eaLnBrk="0" fontAlgn="base" hangingPunct="0">
                            <a:spcBef>
                              <a:spcPct val="0"/>
                            </a:spcBef>
                            <a:spcAft>
                              <a:spcPct val="0"/>
                            </a:spcAft>
                            <a:defRPr sz="4400">
                              <a:solidFill>
                                <a:schemeClr val="tx1"/>
                              </a:solidFill>
                              <a:latin typeface="Arial" charset="0"/>
                              <a:cs typeface="Arial" charset="0"/>
                            </a:defRPr>
                          </a:lvl3pPr>
                          <a:lvl4pPr algn="l" rtl="0" eaLnBrk="0" fontAlgn="base" hangingPunct="0">
                            <a:spcBef>
                              <a:spcPct val="0"/>
                            </a:spcBef>
                            <a:spcAft>
                              <a:spcPct val="0"/>
                            </a:spcAft>
                            <a:defRPr sz="4400">
                              <a:solidFill>
                                <a:schemeClr val="tx1"/>
                              </a:solidFill>
                              <a:latin typeface="Arial" charset="0"/>
                              <a:cs typeface="Arial" charset="0"/>
                            </a:defRPr>
                          </a:lvl4pPr>
                          <a:lvl5pPr algn="l" rtl="0" eaLnBrk="0" fontAlgn="base" hangingPunct="0">
                            <a:spcBef>
                              <a:spcPct val="0"/>
                            </a:spcBef>
                            <a:spcAft>
                              <a:spcPct val="0"/>
                            </a:spcAft>
                            <a:defRPr sz="4400">
                              <a:solidFill>
                                <a:schemeClr val="tx1"/>
                              </a:solidFill>
                              <a:latin typeface="Arial" charset="0"/>
                              <a:cs typeface="Arial" charset="0"/>
                            </a:defRPr>
                          </a:lvl5pPr>
                          <a:lvl6pPr marL="457200" algn="l" rtl="0" fontAlgn="base">
                            <a:spcBef>
                              <a:spcPct val="0"/>
                            </a:spcBef>
                            <a:spcAft>
                              <a:spcPct val="0"/>
                            </a:spcAft>
                            <a:defRPr sz="4400">
                              <a:solidFill>
                                <a:schemeClr val="tx1"/>
                              </a:solidFill>
                              <a:latin typeface="Arial" charset="0"/>
                              <a:cs typeface="Arial" charset="0"/>
                            </a:defRPr>
                          </a:lvl6pPr>
                          <a:lvl7pPr marL="914400" algn="l" rtl="0" fontAlgn="base">
                            <a:spcBef>
                              <a:spcPct val="0"/>
                            </a:spcBef>
                            <a:spcAft>
                              <a:spcPct val="0"/>
                            </a:spcAft>
                            <a:defRPr sz="4400">
                              <a:solidFill>
                                <a:schemeClr val="tx1"/>
                              </a:solidFill>
                              <a:latin typeface="Arial" charset="0"/>
                              <a:cs typeface="Arial" charset="0"/>
                            </a:defRPr>
                          </a:lvl7pPr>
                          <a:lvl8pPr marL="1371600" algn="l" rtl="0" fontAlgn="base">
                            <a:spcBef>
                              <a:spcPct val="0"/>
                            </a:spcBef>
                            <a:spcAft>
                              <a:spcPct val="0"/>
                            </a:spcAft>
                            <a:defRPr sz="4400">
                              <a:solidFill>
                                <a:schemeClr val="tx1"/>
                              </a:solidFill>
                              <a:latin typeface="Arial" charset="0"/>
                              <a:cs typeface="Arial" charset="0"/>
                            </a:defRPr>
                          </a:lvl8pPr>
                          <a:lvl9pPr marL="1828800" algn="l" rtl="0" fontAlgn="base">
                            <a:spcBef>
                              <a:spcPct val="0"/>
                            </a:spcBef>
                            <a:spcAft>
                              <a:spcPct val="0"/>
                            </a:spcAft>
                            <a:defRPr sz="4400">
                              <a:solidFill>
                                <a:schemeClr val="tx1"/>
                              </a:solidFill>
                              <a:latin typeface="Arial" charset="0"/>
                              <a:cs typeface="Arial" charset="0"/>
                            </a:defRPr>
                          </a:lvl9pPr>
                        </a:lstStyle>
                        <a:p>
                          <a:r>
                            <a:rPr lang="ru-RU" smtClean="0"/>
                            <a:t>«Найди лишнюю фигуру»</a:t>
                          </a:r>
                        </a:p>
                      </a:txBody>
                      <a:useSpRect/>
                    </a:txSp>
                  </a:sp>
                  <a:sp>
                    <a:nvSpPr>
                      <a:cNvPr id="12291" name="Содержимое 2"/>
                      <a:cNvSpPr>
                        <a:spLocks noGrp="1"/>
                      </a:cNvSpPr>
                    </a:nvSpPr>
                    <a:spPr bwMode="auto">
                      <a:xfrm>
                        <a:off x="457200" y="1981200"/>
                        <a:ext cx="8229600" cy="38862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pitchFamily="2" charset="2"/>
                            <a:buChar char="n"/>
                            <a:defRPr sz="3200">
                              <a:solidFill>
                                <a:schemeClr val="tx1"/>
                              </a:solidFill>
                              <a:latin typeface="+mn-lt"/>
                              <a:ea typeface="+mn-ea"/>
                              <a:cs typeface="+mn-cs"/>
                            </a:defRPr>
                          </a:lvl1pPr>
                          <a:lvl2pPr marL="742950" indent="-285750" algn="l" rtl="0" eaLnBrk="0" fontAlgn="base" hangingPunct="0">
                            <a:spcBef>
                              <a:spcPct val="20000"/>
                            </a:spcBef>
                            <a:spcAft>
                              <a:spcPct val="0"/>
                            </a:spcAft>
                            <a:buClr>
                              <a:schemeClr val="accent2"/>
                            </a:buClr>
                            <a:buSzPct val="80000"/>
                            <a:buFont typeface="Wingdings" pitchFamily="2" charset="2"/>
                            <a:buChar char="¨"/>
                            <a:defRPr sz="2800">
                              <a:solidFill>
                                <a:schemeClr val="tx1"/>
                              </a:solidFill>
                              <a:latin typeface="+mn-lt"/>
                              <a:cs typeface="+mn-cs"/>
                            </a:defRPr>
                          </a:lvl2pPr>
                          <a:lvl3pPr marL="1143000" indent="-228600" algn="l" rtl="0" eaLnBrk="0" fontAlgn="base" hangingPunct="0">
                            <a:spcBef>
                              <a:spcPct val="20000"/>
                            </a:spcBef>
                            <a:spcAft>
                              <a:spcPct val="0"/>
                            </a:spcAft>
                            <a:buClr>
                              <a:schemeClr val="bg2"/>
                            </a:buClr>
                            <a:buSzPct val="65000"/>
                            <a:buFont typeface="Wingdings" pitchFamily="2" charset="2"/>
                            <a:buChar char="n"/>
                            <a:defRPr sz="2400">
                              <a:solidFill>
                                <a:schemeClr val="tx1"/>
                              </a:solidFill>
                              <a:latin typeface="+mn-lt"/>
                              <a:cs typeface="+mn-cs"/>
                            </a:defRPr>
                          </a:lvl3pPr>
                          <a:lvl4pPr marL="1600200" indent="-228600" algn="l" rtl="0" eaLnBrk="0" fontAlgn="base" hangingPunct="0">
                            <a:spcBef>
                              <a:spcPct val="20000"/>
                            </a:spcBef>
                            <a:spcAft>
                              <a:spcPct val="0"/>
                            </a:spcAft>
                            <a:buClr>
                              <a:schemeClr val="accent2"/>
                            </a:buClr>
                            <a:buSzPct val="70000"/>
                            <a:buFont typeface="Wingdings" pitchFamily="2" charset="2"/>
                            <a:buChar char="¨"/>
                            <a:defRPr sz="2000">
                              <a:solidFill>
                                <a:schemeClr val="tx1"/>
                              </a:solidFill>
                              <a:latin typeface="+mn-lt"/>
                              <a:cs typeface="+mn-cs"/>
                            </a:defRPr>
                          </a:lvl4pPr>
                          <a:lvl5pPr marL="2057400" indent="-228600" algn="l" rtl="0" eaLnBrk="0" fontAlgn="base" hangingPunct="0">
                            <a:spcBef>
                              <a:spcPct val="20000"/>
                            </a:spcBef>
                            <a:spcAft>
                              <a:spcPct val="0"/>
                            </a:spcAft>
                            <a:buClr>
                              <a:schemeClr val="bg2"/>
                            </a:buClr>
                            <a:buFont typeface="Wingdings" pitchFamily="2" charset="2"/>
                            <a:buChar char="§"/>
                            <a:defRPr sz="2000">
                              <a:solidFill>
                                <a:schemeClr val="tx1"/>
                              </a:solidFill>
                              <a:latin typeface="+mn-lt"/>
                              <a:cs typeface="+mn-cs"/>
                            </a:defRPr>
                          </a:lvl5pPr>
                          <a:lvl6pPr marL="2514600" indent="-228600" algn="l" rtl="0" fontAlgn="base">
                            <a:spcBef>
                              <a:spcPct val="20000"/>
                            </a:spcBef>
                            <a:spcAft>
                              <a:spcPct val="0"/>
                            </a:spcAft>
                            <a:buClr>
                              <a:schemeClr val="bg2"/>
                            </a:buClr>
                            <a:buFont typeface="Wingdings" pitchFamily="2" charset="2"/>
                            <a:buChar char="§"/>
                            <a:defRPr sz="2000">
                              <a:solidFill>
                                <a:schemeClr val="tx1"/>
                              </a:solidFill>
                              <a:latin typeface="+mn-lt"/>
                              <a:cs typeface="+mn-cs"/>
                            </a:defRPr>
                          </a:lvl6pPr>
                          <a:lvl7pPr marL="2971800" indent="-228600" algn="l" rtl="0" fontAlgn="base">
                            <a:spcBef>
                              <a:spcPct val="20000"/>
                            </a:spcBef>
                            <a:spcAft>
                              <a:spcPct val="0"/>
                            </a:spcAft>
                            <a:buClr>
                              <a:schemeClr val="bg2"/>
                            </a:buClr>
                            <a:buFont typeface="Wingdings" pitchFamily="2" charset="2"/>
                            <a:buChar char="§"/>
                            <a:defRPr sz="2000">
                              <a:solidFill>
                                <a:schemeClr val="tx1"/>
                              </a:solidFill>
                              <a:latin typeface="+mn-lt"/>
                              <a:cs typeface="+mn-cs"/>
                            </a:defRPr>
                          </a:lvl7pPr>
                          <a:lvl8pPr marL="3429000" indent="-228600" algn="l" rtl="0" fontAlgn="base">
                            <a:spcBef>
                              <a:spcPct val="20000"/>
                            </a:spcBef>
                            <a:spcAft>
                              <a:spcPct val="0"/>
                            </a:spcAft>
                            <a:buClr>
                              <a:schemeClr val="bg2"/>
                            </a:buClr>
                            <a:buFont typeface="Wingdings" pitchFamily="2" charset="2"/>
                            <a:buChar char="§"/>
                            <a:defRPr sz="2000">
                              <a:solidFill>
                                <a:schemeClr val="tx1"/>
                              </a:solidFill>
                              <a:latin typeface="+mn-lt"/>
                              <a:cs typeface="+mn-cs"/>
                            </a:defRPr>
                          </a:lvl8pPr>
                          <a:lvl9pPr marL="3886200" indent="-228600" algn="l" rtl="0" fontAlgn="base">
                            <a:spcBef>
                              <a:spcPct val="20000"/>
                            </a:spcBef>
                            <a:spcAft>
                              <a:spcPct val="0"/>
                            </a:spcAft>
                            <a:buClr>
                              <a:schemeClr val="bg2"/>
                            </a:buClr>
                            <a:buFont typeface="Wingdings" pitchFamily="2" charset="2"/>
                            <a:buChar char="§"/>
                            <a:defRPr sz="2000">
                              <a:solidFill>
                                <a:schemeClr val="tx1"/>
                              </a:solidFill>
                              <a:latin typeface="+mn-lt"/>
                              <a:cs typeface="+mn-cs"/>
                            </a:defRPr>
                          </a:lvl9pPr>
                        </a:lstStyle>
                        <a:p>
                          <a:pPr>
                            <a:buFont typeface="Wingdings" pitchFamily="2" charset="2"/>
                            <a:buNone/>
                          </a:pPr>
                          <a:endParaRPr lang="ru-RU" smtClean="0"/>
                        </a:p>
                      </a:txBody>
                      <a:useSpRect/>
                    </a:txSp>
                  </a:sp>
                  <a:sp>
                    <a:nvSpPr>
                      <a:cNvPr id="12292" name="Прямоугольник 4"/>
                      <a:cNvSpPr>
                        <a:spLocks noChangeArrowheads="1"/>
                      </a:cNvSpPr>
                    </a:nvSpPr>
                    <a:spPr bwMode="auto">
                      <a:xfrm>
                        <a:off x="609600" y="1905000"/>
                        <a:ext cx="914400" cy="914400"/>
                      </a:xfrm>
                      <a:prstGeom prst="rect">
                        <a:avLst/>
                      </a:prstGeom>
                      <a:solidFill>
                        <a:schemeClr val="accent1"/>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293" name="Прямоугольник 5"/>
                      <a:cNvSpPr>
                        <a:spLocks noChangeArrowheads="1"/>
                      </a:cNvSpPr>
                    </a:nvSpPr>
                    <a:spPr bwMode="auto">
                      <a:xfrm>
                        <a:off x="2133600" y="1600200"/>
                        <a:ext cx="1295400" cy="1219200"/>
                      </a:xfrm>
                      <a:prstGeom prst="rect">
                        <a:avLst/>
                      </a:prstGeom>
                      <a:solidFill>
                        <a:srgbClr val="FF000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294" name="Прямоугольник 6"/>
                      <a:cNvSpPr>
                        <a:spLocks noChangeArrowheads="1"/>
                      </a:cNvSpPr>
                    </a:nvSpPr>
                    <a:spPr bwMode="auto">
                      <a:xfrm>
                        <a:off x="5791200" y="2209800"/>
                        <a:ext cx="609600" cy="609600"/>
                      </a:xfrm>
                      <a:prstGeom prst="rect">
                        <a:avLst/>
                      </a:prstGeom>
                      <a:solidFill>
                        <a:srgbClr val="00B0F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8" name="Овал 7"/>
                      <a:cNvSpPr>
                        <a:spLocks noChangeArrowheads="1"/>
                      </a:cNvSpPr>
                    </a:nvSpPr>
                    <a:spPr bwMode="auto">
                      <a:xfrm>
                        <a:off x="4114800" y="1981200"/>
                        <a:ext cx="914400" cy="914400"/>
                      </a:xfrm>
                      <a:prstGeom prst="ellipse">
                        <a:avLst/>
                      </a:prstGeom>
                      <a:solidFill>
                        <a:schemeClr val="accent1"/>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296" name="Равнобедренный треугольник 8"/>
                      <a:cNvSpPr>
                        <a:spLocks noChangeArrowheads="1"/>
                      </a:cNvSpPr>
                    </a:nvSpPr>
                    <a:spPr bwMode="auto">
                      <a:xfrm>
                        <a:off x="457200" y="3505200"/>
                        <a:ext cx="838200" cy="838200"/>
                      </a:xfrm>
                      <a:prstGeom prst="triangle">
                        <a:avLst>
                          <a:gd name="adj" fmla="val 50000"/>
                        </a:avLst>
                      </a:prstGeom>
                      <a:solidFill>
                        <a:srgbClr val="00B05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297" name="Равнобедренный треугольник 9"/>
                      <a:cNvSpPr>
                        <a:spLocks noChangeArrowheads="1"/>
                      </a:cNvSpPr>
                    </a:nvSpPr>
                    <a:spPr bwMode="auto">
                      <a:xfrm>
                        <a:off x="6400800" y="3352800"/>
                        <a:ext cx="2362200" cy="990600"/>
                      </a:xfrm>
                      <a:prstGeom prst="triangle">
                        <a:avLst>
                          <a:gd name="adj" fmla="val 50000"/>
                        </a:avLst>
                      </a:prstGeom>
                      <a:solidFill>
                        <a:srgbClr val="00206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1" name="Прямоугольник 10"/>
                      <a:cNvSpPr>
                        <a:spLocks noChangeArrowheads="1"/>
                      </a:cNvSpPr>
                    </a:nvSpPr>
                    <a:spPr bwMode="auto">
                      <a:xfrm>
                        <a:off x="2057400" y="3581400"/>
                        <a:ext cx="609600" cy="685800"/>
                      </a:xfrm>
                      <a:prstGeom prst="rect">
                        <a:avLst/>
                      </a:prstGeom>
                      <a:solidFill>
                        <a:srgbClr val="7030A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sp>
                    <a:nvSpPr>
                      <a:cNvPr id="12299" name="Равнобедренный треугольник 11"/>
                      <a:cNvSpPr>
                        <a:spLocks noChangeArrowheads="1"/>
                      </a:cNvSpPr>
                    </a:nvSpPr>
                    <a:spPr bwMode="auto">
                      <a:xfrm>
                        <a:off x="3657600" y="3048000"/>
                        <a:ext cx="1828800" cy="1600200"/>
                      </a:xfrm>
                      <a:prstGeom prst="triangle">
                        <a:avLst>
                          <a:gd name="adj" fmla="val 50000"/>
                        </a:avLst>
                      </a:prstGeom>
                      <a:solidFill>
                        <a:srgbClr val="FFFF00"/>
                      </a:solidFill>
                      <a:ln w="9525" algn="ctr">
                        <a:solidFill>
                          <a:schemeClr val="tx1"/>
                        </a:solidFill>
                        <a:round/>
                        <a:headEnd/>
                        <a:tailEnd/>
                      </a:ln>
                    </a:spPr>
                    <a:txSp>
                      <a:txBody>
                        <a:bodyPr/>
                        <a:lstStyle>
                          <a:defPPr>
                            <a:defRPr lang="ru-RU"/>
                          </a:defPPr>
                          <a:lvl1pPr algn="l" rtl="0" fontAlgn="base">
                            <a:spcBef>
                              <a:spcPct val="0"/>
                            </a:spcBef>
                            <a:spcAft>
                              <a:spcPct val="0"/>
                            </a:spcAft>
                            <a:defRPr sz="2400" b="1" kern="1200">
                              <a:solidFill>
                                <a:schemeClr val="tx1"/>
                              </a:solidFill>
                              <a:latin typeface="Times New Roman" pitchFamily="18" charset="0"/>
                              <a:ea typeface="+mn-ea"/>
                              <a:cs typeface="Arial" charset="0"/>
                            </a:defRPr>
                          </a:lvl1pPr>
                          <a:lvl2pPr marL="457200" algn="l" rtl="0" fontAlgn="base">
                            <a:spcBef>
                              <a:spcPct val="0"/>
                            </a:spcBef>
                            <a:spcAft>
                              <a:spcPct val="0"/>
                            </a:spcAft>
                            <a:defRPr sz="2400" b="1" kern="1200">
                              <a:solidFill>
                                <a:schemeClr val="tx1"/>
                              </a:solidFill>
                              <a:latin typeface="Times New Roman" pitchFamily="18" charset="0"/>
                              <a:ea typeface="+mn-ea"/>
                              <a:cs typeface="Arial" charset="0"/>
                            </a:defRPr>
                          </a:lvl2pPr>
                          <a:lvl3pPr marL="914400" algn="l" rtl="0" fontAlgn="base">
                            <a:spcBef>
                              <a:spcPct val="0"/>
                            </a:spcBef>
                            <a:spcAft>
                              <a:spcPct val="0"/>
                            </a:spcAft>
                            <a:defRPr sz="2400" b="1" kern="1200">
                              <a:solidFill>
                                <a:schemeClr val="tx1"/>
                              </a:solidFill>
                              <a:latin typeface="Times New Roman" pitchFamily="18" charset="0"/>
                              <a:ea typeface="+mn-ea"/>
                              <a:cs typeface="Arial" charset="0"/>
                            </a:defRPr>
                          </a:lvl3pPr>
                          <a:lvl4pPr marL="1371600" algn="l" rtl="0" fontAlgn="base">
                            <a:spcBef>
                              <a:spcPct val="0"/>
                            </a:spcBef>
                            <a:spcAft>
                              <a:spcPct val="0"/>
                            </a:spcAft>
                            <a:defRPr sz="2400" b="1" kern="1200">
                              <a:solidFill>
                                <a:schemeClr val="tx1"/>
                              </a:solidFill>
                              <a:latin typeface="Times New Roman" pitchFamily="18" charset="0"/>
                              <a:ea typeface="+mn-ea"/>
                              <a:cs typeface="Arial" charset="0"/>
                            </a:defRPr>
                          </a:lvl4pPr>
                          <a:lvl5pPr marL="1828800" algn="l" rtl="0" fontAlgn="base">
                            <a:spcBef>
                              <a:spcPct val="0"/>
                            </a:spcBef>
                            <a:spcAft>
                              <a:spcPct val="0"/>
                            </a:spcAft>
                            <a:defRPr sz="2400" b="1" kern="1200">
                              <a:solidFill>
                                <a:schemeClr val="tx1"/>
                              </a:solidFill>
                              <a:latin typeface="Times New Roman" pitchFamily="18" charset="0"/>
                              <a:ea typeface="+mn-ea"/>
                              <a:cs typeface="Arial" charset="0"/>
                            </a:defRPr>
                          </a:lvl5pPr>
                          <a:lvl6pPr marL="2286000" algn="l" defTabSz="914400" rtl="0" eaLnBrk="1" latinLnBrk="0" hangingPunct="1">
                            <a:defRPr sz="2400" b="1" kern="1200">
                              <a:solidFill>
                                <a:schemeClr val="tx1"/>
                              </a:solidFill>
                              <a:latin typeface="Times New Roman" pitchFamily="18" charset="0"/>
                              <a:ea typeface="+mn-ea"/>
                              <a:cs typeface="Arial" charset="0"/>
                            </a:defRPr>
                          </a:lvl6pPr>
                          <a:lvl7pPr marL="2743200" algn="l" defTabSz="914400" rtl="0" eaLnBrk="1" latinLnBrk="0" hangingPunct="1">
                            <a:defRPr sz="2400" b="1" kern="1200">
                              <a:solidFill>
                                <a:schemeClr val="tx1"/>
                              </a:solidFill>
                              <a:latin typeface="Times New Roman" pitchFamily="18" charset="0"/>
                              <a:ea typeface="+mn-ea"/>
                              <a:cs typeface="Arial" charset="0"/>
                            </a:defRPr>
                          </a:lvl7pPr>
                          <a:lvl8pPr marL="3200400" algn="l" defTabSz="914400" rtl="0" eaLnBrk="1" latinLnBrk="0" hangingPunct="1">
                            <a:defRPr sz="2400" b="1" kern="1200">
                              <a:solidFill>
                                <a:schemeClr val="tx1"/>
                              </a:solidFill>
                              <a:latin typeface="Times New Roman" pitchFamily="18" charset="0"/>
                              <a:ea typeface="+mn-ea"/>
                              <a:cs typeface="Arial" charset="0"/>
                            </a:defRPr>
                          </a:lvl8pPr>
                          <a:lvl9pPr marL="3657600" algn="l" defTabSz="914400" rtl="0" eaLnBrk="1" latinLnBrk="0" hangingPunct="1">
                            <a:defRPr sz="2400" b="1" kern="1200">
                              <a:solidFill>
                                <a:schemeClr val="tx1"/>
                              </a:solidFill>
                              <a:latin typeface="Times New Roman" pitchFamily="18" charset="0"/>
                              <a:ea typeface="+mn-ea"/>
                              <a:cs typeface="Arial" charset="0"/>
                            </a:defRPr>
                          </a:lvl9pPr>
                        </a:lstStyle>
                        <a:p>
                          <a:endParaRPr lang="ru-RU"/>
                        </a:p>
                      </a:txBody>
                      <a:useSpRect/>
                    </a:txSp>
                  </a:sp>
                  <a:cxnSp>
                    <a:nvCxnSpPr>
                      <a:cNvPr id="12300" name="Прямая соединительная линия 15"/>
                      <a:cNvCxnSpPr>
                        <a:cxnSpLocks noChangeShapeType="1"/>
                      </a:cNvCxnSpPr>
                    </a:nvCxnSpPr>
                    <a:spPr bwMode="auto">
                      <a:xfrm>
                        <a:off x="1371600" y="4953000"/>
                        <a:ext cx="1295400" cy="685800"/>
                      </a:xfrm>
                      <a:prstGeom prst="line">
                        <a:avLst/>
                      </a:prstGeom>
                      <a:noFill/>
                      <a:ln w="9525" algn="ctr">
                        <a:solidFill>
                          <a:srgbClr val="FF0000"/>
                        </a:solidFill>
                        <a:round/>
                        <a:headEnd/>
                        <a:tailEnd/>
                      </a:ln>
                    </a:spPr>
                  </a:cxnSp>
                  <a:cxnSp>
                    <a:nvCxnSpPr>
                      <a:cNvPr id="18" name="Прямая соединительная линия 17"/>
                      <a:cNvCxnSpPr/>
                    </a:nvCxnSpPr>
                    <a:spPr bwMode="auto">
                      <a:xfrm rot="5400000">
                        <a:off x="2971800" y="5334000"/>
                        <a:ext cx="1143000" cy="228600"/>
                      </a:xfrm>
                      <a:prstGeom prst="line">
                        <a:avLst/>
                      </a:prstGeom>
                      <a:solidFill>
                        <a:schemeClr val="accent1"/>
                      </a:solidFill>
                      <a:ln w="9525" cap="flat" cmpd="sng" algn="ctr">
                        <a:solidFill>
                          <a:schemeClr val="bg2">
                            <a:lumMod val="60000"/>
                            <a:lumOff val="40000"/>
                          </a:schemeClr>
                        </a:solidFill>
                        <a:prstDash val="solid"/>
                        <a:round/>
                        <a:headEnd type="none" w="med" len="med"/>
                        <a:tailEnd type="none" w="med" len="med"/>
                      </a:ln>
                      <a:effectLst/>
                      <a:extLst>
                        <a:ext uri="{AF507438-7753-43E0-B8FC-AC1667EBCBE1}"/>
                      </a:extLst>
                    </a:spPr>
                  </a:cxnSp>
                  <a:cxnSp>
                    <a:nvCxnSpPr>
                      <a:cNvPr id="22" name="Скругленная соединительная линия 21"/>
                      <a:cNvCxnSpPr/>
                    </a:nvCxnSpPr>
                    <a:spPr bwMode="auto">
                      <a:xfrm>
                        <a:off x="4267200" y="5105400"/>
                        <a:ext cx="1447800" cy="914400"/>
                      </a:xfrm>
                      <a:prstGeom prst="curvedConnector3">
                        <a:avLst>
                          <a:gd name="adj1" fmla="val 50000"/>
                        </a:avLst>
                      </a:prstGeom>
                      <a:solidFill>
                        <a:schemeClr val="accent1"/>
                      </a:solidFill>
                      <a:ln w="9525" cap="flat" cmpd="sng" algn="ctr">
                        <a:solidFill>
                          <a:schemeClr val="accent4"/>
                        </a:solidFill>
                        <a:prstDash val="solid"/>
                        <a:round/>
                        <a:headEnd type="none" w="med" len="med"/>
                        <a:tailEnd type="none" w="med" len="med"/>
                      </a:ln>
                      <a:effectLst/>
                      <a:extLst>
                        <a:ext uri="{AF507438-7753-43E0-B8FC-AC1667EBCBE1}"/>
                      </a:extLst>
                    </a:spPr>
                  </a:cxnSp>
                  <a:cxnSp>
                    <a:nvCxnSpPr>
                      <a:cNvPr id="25" name="Прямая соединительная линия 24"/>
                      <a:cNvCxnSpPr/>
                    </a:nvCxnSpPr>
                    <a:spPr bwMode="auto">
                      <a:xfrm>
                        <a:off x="6019800" y="4953000"/>
                        <a:ext cx="2133600" cy="762000"/>
                      </a:xfrm>
                      <a:prstGeom prst="line">
                        <a:avLst/>
                      </a:prstGeom>
                      <a:ln>
                        <a:solidFill>
                          <a:srgbClr val="CC0099"/>
                        </a:solidFill>
                        <a:headEnd type="none" w="med" len="med"/>
                        <a:tailEnd type="none" w="med" len="med"/>
                      </a:ln>
                      <a:extLst>
                        <a:ext uri="{AF507438-7753-43E0-B8FC-AC1667EBCBE1}"/>
                      </a:extLst>
                    </a:spPr>
                    <a:style>
                      <a:lnRef idx="1">
                        <a:schemeClr val="dk1"/>
                      </a:lnRef>
                      <a:fillRef idx="0">
                        <a:schemeClr val="dk1"/>
                      </a:fillRef>
                      <a:effectRef idx="0">
                        <a:schemeClr val="dk1"/>
                      </a:effectRef>
                      <a:fontRef idx="minor">
                        <a:schemeClr val="tx1"/>
                      </a:fontRef>
                    </a:style>
                  </a:cxnSp>
                </lc:lockedCanvas>
              </a:graphicData>
            </a:graphic>
          </wp:inline>
        </w:drawing>
      </w: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A42D1B" w:rsidRPr="00A42D1B" w:rsidRDefault="0011343A" w:rsidP="00A42D1B">
      <w:pPr>
        <w:shd w:val="clear" w:color="auto" w:fill="FFFFFF"/>
        <w:spacing w:before="5"/>
        <w:ind w:left="5" w:right="82" w:firstLine="269"/>
        <w:jc w:val="both"/>
        <w:rPr>
          <w:rFonts w:ascii="Times New Roman" w:hAnsi="Times New Roman" w:cs="Times New Roman"/>
          <w:sz w:val="28"/>
          <w:szCs w:val="28"/>
        </w:rPr>
      </w:pPr>
      <w:r w:rsidRPr="00245D3B">
        <w:rPr>
          <w:rFonts w:ascii="Times New Roman" w:hAnsi="Times New Roman" w:cs="Times New Roman"/>
          <w:sz w:val="28"/>
          <w:szCs w:val="28"/>
        </w:rPr>
        <w:t xml:space="preserve">Цель: </w:t>
      </w:r>
      <w:r w:rsidR="00A42D1B" w:rsidRPr="00A42D1B">
        <w:rPr>
          <w:rFonts w:ascii="Times New Roman" w:hAnsi="Times New Roman" w:cs="Times New Roman"/>
          <w:iCs/>
          <w:sz w:val="28"/>
          <w:szCs w:val="28"/>
        </w:rPr>
        <w:t>учить детей сравнивать предметы по одному из признаков, разви</w:t>
      </w:r>
      <w:r w:rsidR="00A42D1B" w:rsidRPr="00A42D1B">
        <w:rPr>
          <w:rFonts w:ascii="Times New Roman" w:hAnsi="Times New Roman" w:cs="Times New Roman"/>
          <w:iCs/>
          <w:spacing w:val="-2"/>
          <w:sz w:val="28"/>
          <w:szCs w:val="28"/>
        </w:rPr>
        <w:t>вать логическое мышление.</w:t>
      </w:r>
    </w:p>
    <w:p w:rsidR="0011343A" w:rsidRDefault="0011343A" w:rsidP="0011343A">
      <w:pPr>
        <w:rPr>
          <w:rFonts w:ascii="Times New Roman" w:hAnsi="Times New Roman" w:cs="Times New Roman"/>
          <w:sz w:val="28"/>
          <w:szCs w:val="28"/>
        </w:rPr>
      </w:pPr>
    </w:p>
    <w:p w:rsidR="005E384C" w:rsidRDefault="0011343A" w:rsidP="00A42D1B">
      <w:pPr>
        <w:rPr>
          <w:rFonts w:ascii="Times New Roman" w:hAnsi="Times New Roman" w:cs="Times New Roman"/>
          <w:sz w:val="28"/>
          <w:szCs w:val="28"/>
        </w:rPr>
      </w:pPr>
      <w:r w:rsidRPr="00245D3B">
        <w:rPr>
          <w:rFonts w:ascii="Times New Roman" w:hAnsi="Times New Roman" w:cs="Times New Roman"/>
          <w:sz w:val="28"/>
          <w:szCs w:val="28"/>
        </w:rPr>
        <w:t xml:space="preserve">Описание: </w:t>
      </w:r>
      <w:r w:rsidR="00A42D1B">
        <w:rPr>
          <w:rFonts w:ascii="Times New Roman" w:hAnsi="Times New Roman" w:cs="Times New Roman"/>
          <w:sz w:val="28"/>
          <w:szCs w:val="28"/>
        </w:rPr>
        <w:t>1. Найди лишнюю фигуру в первом ряду;</w:t>
      </w:r>
    </w:p>
    <w:p w:rsidR="00A42D1B" w:rsidRDefault="00A42D1B" w:rsidP="00A42D1B">
      <w:pPr>
        <w:rPr>
          <w:rFonts w:ascii="Times New Roman" w:hAnsi="Times New Roman" w:cs="Times New Roman"/>
          <w:sz w:val="28"/>
          <w:szCs w:val="28"/>
        </w:rPr>
      </w:pPr>
      <w:r>
        <w:rPr>
          <w:rFonts w:ascii="Times New Roman" w:hAnsi="Times New Roman" w:cs="Times New Roman"/>
          <w:sz w:val="28"/>
          <w:szCs w:val="28"/>
        </w:rPr>
        <w:t xml:space="preserve">                    2. Найди лишнюю фигуру во втором ряду;</w:t>
      </w:r>
    </w:p>
    <w:p w:rsidR="00A42D1B" w:rsidRDefault="00A42D1B" w:rsidP="00A42D1B">
      <w:pPr>
        <w:rPr>
          <w:rFonts w:ascii="Times New Roman" w:hAnsi="Times New Roman" w:cs="Times New Roman"/>
          <w:b/>
          <w:sz w:val="28"/>
          <w:szCs w:val="28"/>
        </w:rPr>
      </w:pPr>
      <w:r>
        <w:rPr>
          <w:rFonts w:ascii="Times New Roman" w:hAnsi="Times New Roman" w:cs="Times New Roman"/>
          <w:sz w:val="28"/>
          <w:szCs w:val="28"/>
        </w:rPr>
        <w:t xml:space="preserve">                    3. Найди лишнюю фигуру в третьем ряду.</w:t>
      </w: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A42D1B">
      <w:pPr>
        <w:rPr>
          <w:rFonts w:ascii="Times New Roman" w:hAnsi="Times New Roman" w:cs="Times New Roman"/>
          <w:b/>
          <w:sz w:val="28"/>
          <w:szCs w:val="28"/>
        </w:rPr>
      </w:pPr>
    </w:p>
    <w:p w:rsidR="005E384C" w:rsidRDefault="005E384C" w:rsidP="0011343A">
      <w:pPr>
        <w:rPr>
          <w:rFonts w:ascii="Times New Roman" w:hAnsi="Times New Roman" w:cs="Times New Roman"/>
          <w:b/>
          <w:sz w:val="28"/>
          <w:szCs w:val="28"/>
        </w:rPr>
      </w:pPr>
    </w:p>
    <w:p w:rsidR="005E384C" w:rsidRDefault="00311EB9" w:rsidP="00911B8E">
      <w:pPr>
        <w:jc w:val="center"/>
        <w:rPr>
          <w:rFonts w:ascii="Times New Roman" w:hAnsi="Times New Roman" w:cs="Times New Roman"/>
          <w:b/>
          <w:sz w:val="28"/>
          <w:szCs w:val="28"/>
        </w:rPr>
      </w:pPr>
      <w:r w:rsidRPr="00311EB9">
        <w:rPr>
          <w:rFonts w:ascii="Times New Roman" w:hAnsi="Times New Roman" w:cs="Times New Roman"/>
          <w:b/>
          <w:sz w:val="28"/>
          <w:szCs w:val="28"/>
        </w:rPr>
        <w:lastRenderedPageBreak/>
        <w:drawing>
          <wp:inline distT="0" distB="0" distL="0" distR="0">
            <wp:extent cx="4781550" cy="1857375"/>
            <wp:effectExtent l="19050" t="0" r="0" b="0"/>
            <wp:docPr id="1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2578100"/>
                      <a:chOff x="304800" y="457200"/>
                      <a:chExt cx="8458200" cy="2578100"/>
                    </a:xfrm>
                  </a:grpSpPr>
                  <a:sp>
                    <a:nvSpPr>
                      <a:cNvPr id="13314" name="Заголовок 1"/>
                      <a:cNvSpPr>
                        <a:spLocks noGrp="1"/>
                      </a:cNvSpPr>
                    </a:nvSpPr>
                    <a:spPr bwMode="auto">
                      <a:xfrm>
                        <a:off x="533400" y="457200"/>
                        <a:ext cx="8229600" cy="13716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l" rtl="0" eaLnBrk="0" fontAlgn="base" hangingPunct="0">
                            <a:spcBef>
                              <a:spcPct val="0"/>
                            </a:spcBef>
                            <a:spcAft>
                              <a:spcPct val="0"/>
                            </a:spcAft>
                            <a:defRPr sz="4400">
                              <a:solidFill>
                                <a:schemeClr val="tx1"/>
                              </a:solidFill>
                              <a:latin typeface="+mj-lt"/>
                              <a:ea typeface="+mj-ea"/>
                              <a:cs typeface="+mj-cs"/>
                            </a:defRPr>
                          </a:lvl1pPr>
                          <a:lvl2pPr algn="l" rtl="0" eaLnBrk="0" fontAlgn="base" hangingPunct="0">
                            <a:spcBef>
                              <a:spcPct val="0"/>
                            </a:spcBef>
                            <a:spcAft>
                              <a:spcPct val="0"/>
                            </a:spcAft>
                            <a:defRPr sz="4400">
                              <a:solidFill>
                                <a:schemeClr val="tx1"/>
                              </a:solidFill>
                              <a:latin typeface="Arial" charset="0"/>
                              <a:cs typeface="Arial" charset="0"/>
                            </a:defRPr>
                          </a:lvl2pPr>
                          <a:lvl3pPr algn="l" rtl="0" eaLnBrk="0" fontAlgn="base" hangingPunct="0">
                            <a:spcBef>
                              <a:spcPct val="0"/>
                            </a:spcBef>
                            <a:spcAft>
                              <a:spcPct val="0"/>
                            </a:spcAft>
                            <a:defRPr sz="4400">
                              <a:solidFill>
                                <a:schemeClr val="tx1"/>
                              </a:solidFill>
                              <a:latin typeface="Arial" charset="0"/>
                              <a:cs typeface="Arial" charset="0"/>
                            </a:defRPr>
                          </a:lvl3pPr>
                          <a:lvl4pPr algn="l" rtl="0" eaLnBrk="0" fontAlgn="base" hangingPunct="0">
                            <a:spcBef>
                              <a:spcPct val="0"/>
                            </a:spcBef>
                            <a:spcAft>
                              <a:spcPct val="0"/>
                            </a:spcAft>
                            <a:defRPr sz="4400">
                              <a:solidFill>
                                <a:schemeClr val="tx1"/>
                              </a:solidFill>
                              <a:latin typeface="Arial" charset="0"/>
                              <a:cs typeface="Arial" charset="0"/>
                            </a:defRPr>
                          </a:lvl4pPr>
                          <a:lvl5pPr algn="l" rtl="0" eaLnBrk="0" fontAlgn="base" hangingPunct="0">
                            <a:spcBef>
                              <a:spcPct val="0"/>
                            </a:spcBef>
                            <a:spcAft>
                              <a:spcPct val="0"/>
                            </a:spcAft>
                            <a:defRPr sz="4400">
                              <a:solidFill>
                                <a:schemeClr val="tx1"/>
                              </a:solidFill>
                              <a:latin typeface="Arial" charset="0"/>
                              <a:cs typeface="Arial" charset="0"/>
                            </a:defRPr>
                          </a:lvl5pPr>
                          <a:lvl6pPr marL="457200" algn="l" rtl="0" fontAlgn="base">
                            <a:spcBef>
                              <a:spcPct val="0"/>
                            </a:spcBef>
                            <a:spcAft>
                              <a:spcPct val="0"/>
                            </a:spcAft>
                            <a:defRPr sz="4400">
                              <a:solidFill>
                                <a:schemeClr val="tx1"/>
                              </a:solidFill>
                              <a:latin typeface="Arial" charset="0"/>
                              <a:cs typeface="Arial" charset="0"/>
                            </a:defRPr>
                          </a:lvl6pPr>
                          <a:lvl7pPr marL="914400" algn="l" rtl="0" fontAlgn="base">
                            <a:spcBef>
                              <a:spcPct val="0"/>
                            </a:spcBef>
                            <a:spcAft>
                              <a:spcPct val="0"/>
                            </a:spcAft>
                            <a:defRPr sz="4400">
                              <a:solidFill>
                                <a:schemeClr val="tx1"/>
                              </a:solidFill>
                              <a:latin typeface="Arial" charset="0"/>
                              <a:cs typeface="Arial" charset="0"/>
                            </a:defRPr>
                          </a:lvl7pPr>
                          <a:lvl8pPr marL="1371600" algn="l" rtl="0" fontAlgn="base">
                            <a:spcBef>
                              <a:spcPct val="0"/>
                            </a:spcBef>
                            <a:spcAft>
                              <a:spcPct val="0"/>
                            </a:spcAft>
                            <a:defRPr sz="4400">
                              <a:solidFill>
                                <a:schemeClr val="tx1"/>
                              </a:solidFill>
                              <a:latin typeface="Arial" charset="0"/>
                              <a:cs typeface="Arial" charset="0"/>
                            </a:defRPr>
                          </a:lvl8pPr>
                          <a:lvl9pPr marL="1828800" algn="l" rtl="0" fontAlgn="base">
                            <a:spcBef>
                              <a:spcPct val="0"/>
                            </a:spcBef>
                            <a:spcAft>
                              <a:spcPct val="0"/>
                            </a:spcAft>
                            <a:defRPr sz="4400">
                              <a:solidFill>
                                <a:schemeClr val="tx1"/>
                              </a:solidFill>
                              <a:latin typeface="Arial" charset="0"/>
                              <a:cs typeface="Arial" charset="0"/>
                            </a:defRPr>
                          </a:lvl9pPr>
                        </a:lstStyle>
                        <a:p>
                          <a:r>
                            <a:rPr lang="ru-RU" smtClean="0"/>
                            <a:t>  «Овощи»</a:t>
                          </a:r>
                        </a:p>
                      </a:txBody>
                      <a:useSpRect/>
                    </a:txSp>
                  </a:sp>
                  <a:pic>
                    <a:nvPicPr>
                      <a:cNvPr id="13315" name="Picture 2" descr="C:\Users\Пфейфер\Desktop\hello_html_5cd2e695.png"/>
                      <a:cNvPicPr>
                        <a:picLocks noGrp="1" noChangeAspect="1" noChangeArrowheads="1"/>
                      </a:cNvPicPr>
                    </a:nvPicPr>
                    <a:blipFill>
                      <a:blip r:embed="rId16"/>
                      <a:srcRect/>
                      <a:stretch>
                        <a:fillRect/>
                      </a:stretch>
                    </a:blipFill>
                    <a:spPr bwMode="auto">
                      <a:xfrm>
                        <a:off x="2133600" y="1828800"/>
                        <a:ext cx="911225" cy="974725"/>
                      </a:xfrm>
                      <a:prstGeom prst="rect">
                        <a:avLst/>
                      </a:prstGeom>
                      <a:noFill/>
                      <a:ln w="9525">
                        <a:noFill/>
                        <a:miter lim="800000"/>
                        <a:headEnd/>
                        <a:tailEnd/>
                      </a:ln>
                    </a:spPr>
                  </a:pic>
                  <a:pic>
                    <a:nvPicPr>
                      <a:cNvPr id="11" name="Picture 2" descr="C:\Users\Пфейфер\Desktop\hello_html_5cd2e695.png"/>
                      <a:cNvPicPr>
                        <a:picLocks noChangeAspect="1" noChangeArrowheads="1"/>
                      </a:cNvPicPr>
                    </a:nvPicPr>
                    <a:blipFill>
                      <a:blip r:embed="rId16"/>
                      <a:srcRect/>
                      <a:stretch>
                        <a:fillRect/>
                      </a:stretch>
                    </a:blipFill>
                    <a:spPr bwMode="auto">
                      <a:xfrm>
                        <a:off x="6934200" y="1828800"/>
                        <a:ext cx="911225" cy="974725"/>
                      </a:xfrm>
                      <a:prstGeom prst="rect">
                        <a:avLst/>
                      </a:prstGeom>
                      <a:noFill/>
                      <a:ln w="9525">
                        <a:noFill/>
                        <a:miter lim="800000"/>
                        <a:headEnd/>
                        <a:tailEnd/>
                      </a:ln>
                    </a:spPr>
                  </a:pic>
                  <a:pic>
                    <a:nvPicPr>
                      <a:cNvPr id="24581" name="Picture 5" descr="C:\Users\Пфейфер\Desktop\1611829556_2-p-pomidor-risunok-2.png"/>
                      <a:cNvPicPr>
                        <a:picLocks noChangeAspect="1" noChangeArrowheads="1"/>
                      </a:cNvPicPr>
                    </a:nvPicPr>
                    <a:blipFill>
                      <a:blip r:embed="rId17"/>
                      <a:srcRect/>
                      <a:stretch>
                        <a:fillRect/>
                      </a:stretch>
                    </a:blipFill>
                    <a:spPr bwMode="auto">
                      <a:xfrm>
                        <a:off x="1143000" y="1905000"/>
                        <a:ext cx="914400" cy="914400"/>
                      </a:xfrm>
                      <a:prstGeom prst="rect">
                        <a:avLst/>
                      </a:prstGeom>
                      <a:noFill/>
                      <a:ln w="9525">
                        <a:noFill/>
                        <a:miter lim="800000"/>
                        <a:headEnd/>
                        <a:tailEnd/>
                      </a:ln>
                    </a:spPr>
                  </a:pic>
                  <a:pic>
                    <a:nvPicPr>
                      <a:cNvPr id="13318" name="Picture 5" descr="C:\Users\Пфейфер\Desktop\1611829556_2-p-pomidor-risunok-2.png"/>
                      <a:cNvPicPr>
                        <a:picLocks noChangeAspect="1" noChangeArrowheads="1"/>
                      </a:cNvPicPr>
                    </a:nvPicPr>
                    <a:blipFill>
                      <a:blip r:embed="rId17"/>
                      <a:srcRect/>
                      <a:stretch>
                        <a:fillRect/>
                      </a:stretch>
                    </a:blipFill>
                    <a:spPr bwMode="auto">
                      <a:xfrm>
                        <a:off x="3886200" y="1905000"/>
                        <a:ext cx="914400" cy="914400"/>
                      </a:xfrm>
                      <a:prstGeom prst="rect">
                        <a:avLst/>
                      </a:prstGeom>
                      <a:noFill/>
                      <a:ln w="9525">
                        <a:noFill/>
                        <a:miter lim="800000"/>
                        <a:headEnd/>
                        <a:tailEnd/>
                      </a:ln>
                    </a:spPr>
                  </a:pic>
                  <a:pic>
                    <a:nvPicPr>
                      <a:cNvPr id="13319" name="Picture 5" descr="C:\Users\Пфейфер\Desktop\1611829556_2-p-pomidor-risunok-2.png"/>
                      <a:cNvPicPr>
                        <a:picLocks noChangeAspect="1" noChangeArrowheads="1"/>
                      </a:cNvPicPr>
                    </a:nvPicPr>
                    <a:blipFill>
                      <a:blip r:embed="rId17"/>
                      <a:srcRect/>
                      <a:stretch>
                        <a:fillRect/>
                      </a:stretch>
                    </a:blipFill>
                    <a:spPr bwMode="auto">
                      <a:xfrm>
                        <a:off x="5715000" y="1828800"/>
                        <a:ext cx="914400" cy="914400"/>
                      </a:xfrm>
                      <a:prstGeom prst="rect">
                        <a:avLst/>
                      </a:prstGeom>
                      <a:noFill/>
                      <a:ln w="9525">
                        <a:noFill/>
                        <a:miter lim="800000"/>
                        <a:headEnd/>
                        <a:tailEnd/>
                      </a:ln>
                    </a:spPr>
                  </a:pic>
                  <a:pic>
                    <a:nvPicPr>
                      <a:cNvPr id="24582" name="Picture 6" descr="C:\Users\Пфейфер\Desktop\thumb_img_56f68fcb9aee5_resize_900_5000.jpg"/>
                      <a:cNvPicPr>
                        <a:picLocks noChangeAspect="1" noChangeArrowheads="1"/>
                      </a:cNvPicPr>
                    </a:nvPicPr>
                    <a:blipFill>
                      <a:blip r:embed="rId18"/>
                      <a:srcRect/>
                      <a:stretch>
                        <a:fillRect/>
                      </a:stretch>
                    </a:blipFill>
                    <a:spPr bwMode="auto">
                      <a:xfrm>
                        <a:off x="304800" y="1447800"/>
                        <a:ext cx="762000" cy="1511300"/>
                      </a:xfrm>
                      <a:prstGeom prst="rect">
                        <a:avLst/>
                      </a:prstGeom>
                      <a:noFill/>
                      <a:ln w="9525">
                        <a:noFill/>
                        <a:miter lim="800000"/>
                        <a:headEnd/>
                        <a:tailEnd/>
                      </a:ln>
                    </a:spPr>
                  </a:pic>
                  <a:pic>
                    <a:nvPicPr>
                      <a:cNvPr id="13321" name="Picture 6" descr="C:\Users\Пфейфер\Desktop\thumb_img_56f68fcb9aee5_resize_900_5000.jpg"/>
                      <a:cNvPicPr>
                        <a:picLocks noChangeAspect="1" noChangeArrowheads="1"/>
                      </a:cNvPicPr>
                    </a:nvPicPr>
                    <a:blipFill>
                      <a:blip r:embed="rId18"/>
                      <a:srcRect/>
                      <a:stretch>
                        <a:fillRect/>
                      </a:stretch>
                    </a:blipFill>
                    <a:spPr bwMode="auto">
                      <a:xfrm>
                        <a:off x="3048000" y="1524000"/>
                        <a:ext cx="762000" cy="1511300"/>
                      </a:xfrm>
                      <a:prstGeom prst="rect">
                        <a:avLst/>
                      </a:prstGeom>
                      <a:noFill/>
                      <a:ln w="9525">
                        <a:noFill/>
                        <a:miter lim="800000"/>
                        <a:headEnd/>
                        <a:tailEnd/>
                      </a:ln>
                    </a:spPr>
                  </a:pic>
                  <a:pic>
                    <a:nvPicPr>
                      <a:cNvPr id="13322" name="Picture 6" descr="C:\Users\Пфейфер\Desktop\thumb_img_56f68fcb9aee5_resize_900_5000.jpg"/>
                      <a:cNvPicPr>
                        <a:picLocks noChangeAspect="1" noChangeArrowheads="1"/>
                      </a:cNvPicPr>
                    </a:nvPicPr>
                    <a:blipFill>
                      <a:blip r:embed="rId18"/>
                      <a:srcRect/>
                      <a:stretch>
                        <a:fillRect/>
                      </a:stretch>
                    </a:blipFill>
                    <a:spPr bwMode="auto">
                      <a:xfrm>
                        <a:off x="4953000" y="1371600"/>
                        <a:ext cx="762000" cy="1511300"/>
                      </a:xfrm>
                      <a:prstGeom prst="rect">
                        <a:avLst/>
                      </a:prstGeom>
                      <a:noFill/>
                      <a:ln w="9525">
                        <a:noFill/>
                        <a:miter lim="800000"/>
                        <a:headEnd/>
                        <a:tailEnd/>
                      </a:ln>
                    </a:spPr>
                  </a:pic>
                  <a:pic>
                    <a:nvPicPr>
                      <a:cNvPr id="13323" name="Picture 6" descr="C:\Users\Пфейфер\Desktop\thumb_img_56f68fcb9aee5_resize_900_5000.jpg"/>
                      <a:cNvPicPr>
                        <a:picLocks noChangeAspect="1" noChangeArrowheads="1"/>
                      </a:cNvPicPr>
                    </a:nvPicPr>
                    <a:blipFill>
                      <a:blip r:embed="rId18"/>
                      <a:srcRect/>
                      <a:stretch>
                        <a:fillRect/>
                      </a:stretch>
                    </a:blipFill>
                    <a:spPr bwMode="auto">
                      <a:xfrm>
                        <a:off x="8001000" y="1524000"/>
                        <a:ext cx="762000" cy="1511300"/>
                      </a:xfrm>
                      <a:prstGeom prst="rect">
                        <a:avLst/>
                      </a:prstGeom>
                      <a:noFill/>
                      <a:ln w="9525">
                        <a:noFill/>
                        <a:miter lim="800000"/>
                        <a:headEnd/>
                        <a:tailEnd/>
                      </a:ln>
                    </a:spPr>
                  </a:pic>
                </lc:lockedCanvas>
              </a:graphicData>
            </a:graphic>
          </wp:inline>
        </w:drawing>
      </w:r>
    </w:p>
    <w:p w:rsidR="00311EB9" w:rsidRDefault="00311EB9" w:rsidP="00911B8E">
      <w:pPr>
        <w:jc w:val="center"/>
        <w:rPr>
          <w:rFonts w:ascii="Times New Roman" w:hAnsi="Times New Roman" w:cs="Times New Roman"/>
          <w:b/>
          <w:sz w:val="28"/>
          <w:szCs w:val="28"/>
        </w:rPr>
      </w:pPr>
    </w:p>
    <w:p w:rsidR="00311EB9" w:rsidRDefault="00311EB9" w:rsidP="00911B8E">
      <w:pPr>
        <w:jc w:val="center"/>
        <w:rPr>
          <w:rFonts w:ascii="Times New Roman" w:hAnsi="Times New Roman" w:cs="Times New Roman"/>
          <w:b/>
          <w:sz w:val="28"/>
          <w:szCs w:val="28"/>
        </w:rPr>
      </w:pPr>
    </w:p>
    <w:p w:rsidR="0011343A" w:rsidRPr="00A42D1B" w:rsidRDefault="0011343A" w:rsidP="0011343A">
      <w:pPr>
        <w:rPr>
          <w:rFonts w:ascii="Times New Roman" w:hAnsi="Times New Roman" w:cs="Times New Roman"/>
          <w:sz w:val="28"/>
          <w:szCs w:val="28"/>
        </w:rPr>
      </w:pPr>
      <w:r w:rsidRPr="00245D3B">
        <w:rPr>
          <w:rFonts w:ascii="Times New Roman" w:hAnsi="Times New Roman" w:cs="Times New Roman"/>
          <w:sz w:val="28"/>
          <w:szCs w:val="28"/>
        </w:rPr>
        <w:t xml:space="preserve">Цель: </w:t>
      </w:r>
      <w:r w:rsidR="00A42D1B" w:rsidRPr="00A42D1B">
        <w:rPr>
          <w:rFonts w:ascii="Times New Roman" w:hAnsi="Times New Roman" w:cs="Times New Roman"/>
          <w:iCs/>
          <w:spacing w:val="2"/>
          <w:sz w:val="28"/>
          <w:szCs w:val="28"/>
        </w:rPr>
        <w:t>закрепить умение ориентироваться в пространстве</w:t>
      </w:r>
    </w:p>
    <w:p w:rsidR="005E384C" w:rsidRDefault="0011343A" w:rsidP="00A42D1B">
      <w:pPr>
        <w:rPr>
          <w:rFonts w:ascii="Times New Roman" w:hAnsi="Times New Roman" w:cs="Times New Roman"/>
          <w:sz w:val="28"/>
          <w:szCs w:val="28"/>
        </w:rPr>
      </w:pPr>
      <w:r w:rsidRPr="00245D3B">
        <w:rPr>
          <w:rFonts w:ascii="Times New Roman" w:hAnsi="Times New Roman" w:cs="Times New Roman"/>
          <w:sz w:val="28"/>
          <w:szCs w:val="28"/>
        </w:rPr>
        <w:t xml:space="preserve">Описание: </w:t>
      </w:r>
      <w:r w:rsidR="00A42D1B">
        <w:rPr>
          <w:rFonts w:ascii="Times New Roman" w:hAnsi="Times New Roman" w:cs="Times New Roman"/>
          <w:sz w:val="28"/>
          <w:szCs w:val="28"/>
        </w:rPr>
        <w:t>1. Покажи самую правую морковку;</w:t>
      </w:r>
    </w:p>
    <w:p w:rsidR="00A42D1B" w:rsidRDefault="00A42D1B" w:rsidP="00A42D1B">
      <w:pPr>
        <w:rPr>
          <w:rFonts w:ascii="Times New Roman" w:hAnsi="Times New Roman" w:cs="Times New Roman"/>
          <w:sz w:val="28"/>
          <w:szCs w:val="28"/>
        </w:rPr>
      </w:pPr>
      <w:r>
        <w:rPr>
          <w:rFonts w:ascii="Times New Roman" w:hAnsi="Times New Roman" w:cs="Times New Roman"/>
          <w:sz w:val="28"/>
          <w:szCs w:val="28"/>
        </w:rPr>
        <w:t xml:space="preserve">                   2. Покажи самый левый огурец;</w:t>
      </w:r>
    </w:p>
    <w:p w:rsidR="00A42D1B" w:rsidRDefault="00A42D1B" w:rsidP="00A42D1B">
      <w:pPr>
        <w:rPr>
          <w:rFonts w:ascii="Times New Roman" w:hAnsi="Times New Roman" w:cs="Times New Roman"/>
          <w:b/>
          <w:sz w:val="28"/>
          <w:szCs w:val="28"/>
        </w:rPr>
      </w:pPr>
      <w:r>
        <w:rPr>
          <w:rFonts w:ascii="Times New Roman" w:hAnsi="Times New Roman" w:cs="Times New Roman"/>
          <w:sz w:val="28"/>
          <w:szCs w:val="28"/>
        </w:rPr>
        <w:t xml:space="preserve">                   3. Назови овощи, которые левее самой левой морковки.</w:t>
      </w: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AE050C" w:rsidRDefault="00AE050C" w:rsidP="00AE050C">
      <w:pPr>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AE050C" w:rsidRDefault="00AE050C" w:rsidP="00AE050C">
      <w:pPr>
        <w:rPr>
          <w:rFonts w:ascii="Times New Roman" w:hAnsi="Times New Roman" w:cs="Times New Roman"/>
          <w:sz w:val="28"/>
          <w:szCs w:val="28"/>
        </w:rPr>
      </w:pPr>
      <w:r w:rsidRPr="005D4823">
        <w:rPr>
          <w:rFonts w:ascii="Times New Roman" w:hAnsi="Times New Roman" w:cs="Times New Roman"/>
          <w:sz w:val="28"/>
          <w:szCs w:val="28"/>
        </w:rPr>
        <w:t xml:space="preserve">  Из </w:t>
      </w:r>
      <w:r>
        <w:rPr>
          <w:rFonts w:ascii="Times New Roman" w:hAnsi="Times New Roman" w:cs="Times New Roman"/>
          <w:sz w:val="28"/>
          <w:szCs w:val="28"/>
        </w:rPr>
        <w:t>изложенного можно сделать вывод, что дидактическая игра отличается от обыкновенной игры тем, что участие в ней обязательно для всех учащихся.</w:t>
      </w:r>
    </w:p>
    <w:p w:rsidR="00AE050C" w:rsidRDefault="00AE050C" w:rsidP="00AE050C">
      <w:pPr>
        <w:rPr>
          <w:rFonts w:ascii="Times New Roman" w:hAnsi="Times New Roman" w:cs="Times New Roman"/>
          <w:sz w:val="28"/>
          <w:szCs w:val="28"/>
        </w:rPr>
      </w:pPr>
      <w:r>
        <w:rPr>
          <w:rFonts w:ascii="Times New Roman" w:hAnsi="Times New Roman" w:cs="Times New Roman"/>
          <w:sz w:val="28"/>
          <w:szCs w:val="28"/>
        </w:rPr>
        <w:t>Её правила, содержание, методика проведения разработаны так, что для некоторых учащихся, не испытывающих интереса к математике, дидактические игры могут послужить отправной точкой в возникновении этого интереса.</w:t>
      </w:r>
    </w:p>
    <w:p w:rsidR="00AE050C" w:rsidRDefault="00AE050C" w:rsidP="00AE050C">
      <w:pPr>
        <w:rPr>
          <w:rFonts w:ascii="Times New Roman" w:hAnsi="Times New Roman" w:cs="Times New Roman"/>
          <w:sz w:val="28"/>
          <w:szCs w:val="28"/>
        </w:rPr>
      </w:pPr>
      <w:r>
        <w:rPr>
          <w:rFonts w:ascii="Times New Roman" w:hAnsi="Times New Roman" w:cs="Times New Roman"/>
          <w:sz w:val="28"/>
          <w:szCs w:val="28"/>
        </w:rPr>
        <w:t>Основным в дидактической игре на уроках математики является обучение математике. Игровые ситуации лишь активизируют деятельность учащихся, делает восприятие более активным, эмоциональным, творческим. Поэтому использование  дидактических игр дает наибольший эффект в классах, где преобладают ученики с неустойчивым вниманием, пониженным интересом  к предмету, для которых  математика  кажется скучной и сухой  наукой.</w:t>
      </w:r>
    </w:p>
    <w:p w:rsidR="00AE050C" w:rsidRDefault="00AE050C" w:rsidP="00AE050C">
      <w:pPr>
        <w:rPr>
          <w:rFonts w:ascii="Times New Roman" w:hAnsi="Times New Roman" w:cs="Times New Roman"/>
          <w:sz w:val="28"/>
          <w:szCs w:val="28"/>
        </w:rPr>
      </w:pPr>
      <w:r>
        <w:rPr>
          <w:rFonts w:ascii="Times New Roman" w:hAnsi="Times New Roman" w:cs="Times New Roman"/>
          <w:sz w:val="28"/>
          <w:szCs w:val="28"/>
        </w:rPr>
        <w:t>Создание игровых ситуаций на уроках математики повышает интерес к математике, вносит разнообразие и эмоциональную окраску в учебную работу, снимает утомление, развивает внимание, сообразительность, чувство соревнования, взаимопомощь.</w:t>
      </w:r>
    </w:p>
    <w:p w:rsidR="00AE050C" w:rsidRDefault="00AE050C" w:rsidP="00AE050C">
      <w:pPr>
        <w:rPr>
          <w:rFonts w:ascii="Times New Roman" w:hAnsi="Times New Roman" w:cs="Times New Roman"/>
          <w:sz w:val="28"/>
          <w:szCs w:val="28"/>
        </w:rPr>
      </w:pPr>
      <w:r>
        <w:rPr>
          <w:rFonts w:ascii="Times New Roman" w:hAnsi="Times New Roman" w:cs="Times New Roman"/>
          <w:sz w:val="28"/>
          <w:szCs w:val="28"/>
        </w:rPr>
        <w:t>Систематическое использование дидактических игр на разных этапах изучения различного по характеру математического материала является эффективным средством активации учебной деятельности школьников, положительно влияющим на повышение качества знаний, умений и навыков учащихся, развитие умственной деятельности. Словом, дидактические игры заслуживают право дополнить традиционные формы обучения и воспитания школьников.</w:t>
      </w:r>
    </w:p>
    <w:p w:rsidR="00AE050C" w:rsidRPr="005D4823" w:rsidRDefault="00AE050C" w:rsidP="00AE050C">
      <w:pPr>
        <w:rPr>
          <w:rFonts w:ascii="Times New Roman" w:hAnsi="Times New Roman" w:cs="Times New Roman"/>
          <w:sz w:val="28"/>
          <w:szCs w:val="28"/>
        </w:rPr>
      </w:pPr>
    </w:p>
    <w:p w:rsidR="00AE050C" w:rsidRDefault="00AE050C" w:rsidP="00AE050C">
      <w:pPr>
        <w:rPr>
          <w:rFonts w:ascii="Times New Roman" w:hAnsi="Times New Roman" w:cs="Times New Roman"/>
          <w:sz w:val="28"/>
          <w:szCs w:val="28"/>
        </w:rPr>
      </w:pPr>
    </w:p>
    <w:p w:rsidR="00AE050C" w:rsidRDefault="00AE050C" w:rsidP="00AE050C">
      <w:pPr>
        <w:rPr>
          <w:rFonts w:ascii="Times New Roman" w:hAnsi="Times New Roman" w:cs="Times New Roman"/>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Default="005E384C" w:rsidP="00911B8E">
      <w:pPr>
        <w:jc w:val="center"/>
        <w:rPr>
          <w:rFonts w:ascii="Times New Roman" w:hAnsi="Times New Roman" w:cs="Times New Roman"/>
          <w:b/>
          <w:sz w:val="28"/>
          <w:szCs w:val="28"/>
        </w:rPr>
      </w:pPr>
    </w:p>
    <w:p w:rsidR="005E384C" w:rsidRPr="005A2DDB" w:rsidRDefault="005E384C" w:rsidP="00AE050C">
      <w:pPr>
        <w:rPr>
          <w:rFonts w:ascii="Times New Roman" w:hAnsi="Times New Roman" w:cs="Times New Roman"/>
          <w:b/>
          <w:sz w:val="28"/>
          <w:szCs w:val="28"/>
        </w:rPr>
      </w:pPr>
    </w:p>
    <w:p w:rsidR="00911B8E" w:rsidRPr="00A15371" w:rsidRDefault="00911B8E" w:rsidP="00911B8E">
      <w:pPr>
        <w:jc w:val="center"/>
        <w:rPr>
          <w:rFonts w:ascii="Times New Roman" w:hAnsi="Times New Roman" w:cs="Times New Roman"/>
          <w:b/>
          <w:sz w:val="28"/>
          <w:szCs w:val="28"/>
        </w:rPr>
      </w:pPr>
      <w:r w:rsidRPr="00A15371">
        <w:rPr>
          <w:rFonts w:ascii="Times New Roman" w:hAnsi="Times New Roman" w:cs="Times New Roman"/>
          <w:b/>
          <w:sz w:val="28"/>
          <w:szCs w:val="28"/>
        </w:rPr>
        <w:t>Литература</w:t>
      </w:r>
    </w:p>
    <w:p w:rsidR="00911B8E" w:rsidRDefault="00911B8E" w:rsidP="00911B8E">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 xml:space="preserve">Учебник Математика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часть А.В.Акпаев,  Л.А. Лебедева -2014 г.</w:t>
      </w:r>
    </w:p>
    <w:p w:rsidR="00911B8E" w:rsidRDefault="00911B8E" w:rsidP="00911B8E">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Журнал «Начальная школа» 1988 г. №10; 1997г. №2</w:t>
      </w:r>
    </w:p>
    <w:p w:rsidR="00911B8E" w:rsidRDefault="002E2AF3" w:rsidP="00911B8E">
      <w:pPr>
        <w:pStyle w:val="a7"/>
        <w:numPr>
          <w:ilvl w:val="0"/>
          <w:numId w:val="1"/>
        </w:numPr>
        <w:rPr>
          <w:rFonts w:ascii="Times New Roman" w:hAnsi="Times New Roman" w:cs="Times New Roman"/>
          <w:sz w:val="28"/>
          <w:szCs w:val="28"/>
        </w:rPr>
      </w:pPr>
      <w:hyperlink r:id="rId19" w:history="1">
        <w:r w:rsidR="00911B8E" w:rsidRPr="00C02097">
          <w:rPr>
            <w:rStyle w:val="a8"/>
            <w:rFonts w:ascii="Times New Roman" w:hAnsi="Times New Roman" w:cs="Times New Roman"/>
            <w:sz w:val="28"/>
            <w:szCs w:val="28"/>
          </w:rPr>
          <w:t>http://viki.rdf.ru/</w:t>
        </w:r>
      </w:hyperlink>
    </w:p>
    <w:p w:rsidR="00911B8E" w:rsidRDefault="00911B8E" w:rsidP="00911B8E">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Т.К.Жикалкина  «Система игр на уроках математики в 1-2 классах»-1996 г</w:t>
      </w:r>
    </w:p>
    <w:p w:rsidR="00911B8E" w:rsidRPr="00A15371" w:rsidRDefault="00911B8E" w:rsidP="00911B8E">
      <w:pPr>
        <w:pStyle w:val="a7"/>
        <w:rPr>
          <w:rFonts w:ascii="Times New Roman" w:hAnsi="Times New Roman" w:cs="Times New Roman"/>
          <w:sz w:val="28"/>
          <w:szCs w:val="28"/>
        </w:rPr>
      </w:pPr>
    </w:p>
    <w:p w:rsidR="00911B8E" w:rsidRDefault="00911B8E" w:rsidP="00911B8E">
      <w:pPr>
        <w:rPr>
          <w:rFonts w:ascii="Times New Roman" w:hAnsi="Times New Roman" w:cs="Times New Roman"/>
          <w:sz w:val="28"/>
          <w:szCs w:val="28"/>
        </w:rPr>
      </w:pPr>
    </w:p>
    <w:p w:rsidR="00E23C31" w:rsidRPr="00E23C31" w:rsidRDefault="00E23C31" w:rsidP="00E23C31">
      <w:pPr>
        <w:shd w:val="clear" w:color="auto" w:fill="FFFFFF"/>
        <w:spacing w:before="43"/>
        <w:ind w:left="1502" w:right="1469"/>
        <w:jc w:val="center"/>
        <w:rPr>
          <w:rFonts w:ascii="Times New Roman" w:hAnsi="Times New Roman"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A42D1B">
      <w:pPr>
        <w:shd w:val="clear" w:color="auto" w:fill="FFFFFF"/>
        <w:spacing w:before="43"/>
        <w:ind w:right="1469"/>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AE050C" w:rsidRDefault="00AE050C" w:rsidP="00AE050C">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AE050C" w:rsidRDefault="00AE050C" w:rsidP="00AE050C">
      <w:pPr>
        <w:pStyle w:val="a7"/>
        <w:numPr>
          <w:ilvl w:val="0"/>
          <w:numId w:val="2"/>
        </w:numPr>
        <w:rPr>
          <w:rFonts w:ascii="Times New Roman" w:hAnsi="Times New Roman" w:cs="Times New Roman"/>
          <w:sz w:val="28"/>
          <w:szCs w:val="28"/>
        </w:rPr>
      </w:pPr>
      <w:r w:rsidRPr="006D3EC2">
        <w:rPr>
          <w:rFonts w:ascii="Times New Roman" w:hAnsi="Times New Roman" w:cs="Times New Roman"/>
          <w:sz w:val="28"/>
          <w:szCs w:val="28"/>
        </w:rPr>
        <w:t>Пояснительная  записка.</w:t>
      </w:r>
      <w:r>
        <w:rPr>
          <w:rFonts w:ascii="Times New Roman" w:hAnsi="Times New Roman" w:cs="Times New Roman"/>
          <w:sz w:val="28"/>
          <w:szCs w:val="28"/>
        </w:rPr>
        <w:t xml:space="preserve">                                                                          2-3</w:t>
      </w:r>
    </w:p>
    <w:p w:rsidR="00AE050C" w:rsidRP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Актуальность                                                                                             4</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Результативность                                                                                       4</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«Сундучок»                                   5</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«Доли»                                           6</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«Тройка чисел»                             7</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«Квадрат числа»                           8</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«Равенства, неравенства»            9</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 xml:space="preserve">Дидактическая интерактивная игра </w:t>
      </w:r>
    </w:p>
    <w:p w:rsidR="00AE050C" w:rsidRDefault="00AE050C" w:rsidP="00AE050C">
      <w:pPr>
        <w:pStyle w:val="a7"/>
        <w:rPr>
          <w:rFonts w:ascii="Times New Roman" w:hAnsi="Times New Roman" w:cs="Times New Roman"/>
          <w:sz w:val="28"/>
          <w:szCs w:val="28"/>
        </w:rPr>
      </w:pPr>
      <w:r>
        <w:rPr>
          <w:rFonts w:ascii="Times New Roman" w:hAnsi="Times New Roman" w:cs="Times New Roman"/>
          <w:sz w:val="28"/>
          <w:szCs w:val="28"/>
        </w:rPr>
        <w:t>«Тучка разрядных слагаемых»                                                               10</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«Математическая рыбалка»     11</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«Разноцветные клеточки»         12</w:t>
      </w:r>
    </w:p>
    <w:p w:rsidR="00AE050C" w:rsidRDefault="00AE050C"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 xml:space="preserve">Дидактическая интерактивная игра  </w:t>
      </w:r>
      <w:r w:rsidR="0011343A">
        <w:rPr>
          <w:rFonts w:ascii="Times New Roman" w:hAnsi="Times New Roman" w:cs="Times New Roman"/>
          <w:sz w:val="28"/>
          <w:szCs w:val="28"/>
        </w:rPr>
        <w:t>«Найди лишнюю фигуру»         13</w:t>
      </w:r>
    </w:p>
    <w:p w:rsidR="00AE050C" w:rsidRDefault="0011343A"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Дидактическая интерактивная игра  «Овощи»                                      14</w:t>
      </w:r>
    </w:p>
    <w:p w:rsidR="00AE050C" w:rsidRDefault="0011343A"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Заключение                                                                                                15</w:t>
      </w:r>
    </w:p>
    <w:p w:rsidR="00AE050C" w:rsidRPr="0011343A" w:rsidRDefault="0011343A" w:rsidP="0011343A">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 xml:space="preserve">Литература         </w:t>
      </w:r>
      <w:r w:rsidR="00AE050C" w:rsidRPr="0011343A">
        <w:rPr>
          <w:rFonts w:ascii="Times New Roman" w:hAnsi="Times New Roman" w:cs="Times New Roman"/>
          <w:sz w:val="28"/>
          <w:szCs w:val="28"/>
        </w:rPr>
        <w:t xml:space="preserve">                                             </w:t>
      </w:r>
      <w:r>
        <w:rPr>
          <w:rFonts w:ascii="Times New Roman" w:hAnsi="Times New Roman" w:cs="Times New Roman"/>
          <w:sz w:val="28"/>
          <w:szCs w:val="28"/>
        </w:rPr>
        <w:t xml:space="preserve">                                          16</w:t>
      </w:r>
    </w:p>
    <w:p w:rsidR="00AE050C" w:rsidRDefault="0011343A" w:rsidP="00AE050C">
      <w:pPr>
        <w:pStyle w:val="a7"/>
        <w:numPr>
          <w:ilvl w:val="0"/>
          <w:numId w:val="2"/>
        </w:numPr>
        <w:rPr>
          <w:rFonts w:ascii="Times New Roman" w:hAnsi="Times New Roman" w:cs="Times New Roman"/>
          <w:sz w:val="28"/>
          <w:szCs w:val="28"/>
        </w:rPr>
      </w:pPr>
      <w:r>
        <w:rPr>
          <w:rFonts w:ascii="Times New Roman" w:hAnsi="Times New Roman" w:cs="Times New Roman"/>
          <w:sz w:val="28"/>
          <w:szCs w:val="28"/>
        </w:rPr>
        <w:t>Содержание</w:t>
      </w:r>
      <w:r w:rsidR="00AE050C">
        <w:rPr>
          <w:rFonts w:ascii="Times New Roman" w:hAnsi="Times New Roman" w:cs="Times New Roman"/>
          <w:sz w:val="28"/>
          <w:szCs w:val="28"/>
        </w:rPr>
        <w:t xml:space="preserve">.                                                                  </w:t>
      </w:r>
      <w:r>
        <w:rPr>
          <w:rFonts w:ascii="Times New Roman" w:hAnsi="Times New Roman" w:cs="Times New Roman"/>
          <w:sz w:val="28"/>
          <w:szCs w:val="28"/>
        </w:rPr>
        <w:t xml:space="preserve">                            17</w:t>
      </w: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p w:rsidR="00E23C31" w:rsidRDefault="00E23C31" w:rsidP="00E23C31">
      <w:pPr>
        <w:shd w:val="clear" w:color="auto" w:fill="FFFFFF"/>
        <w:spacing w:before="43"/>
        <w:ind w:left="1502" w:right="1469"/>
        <w:jc w:val="center"/>
        <w:rPr>
          <w:rFonts w:cs="Times New Roman"/>
          <w:b/>
          <w:bCs/>
          <w:i/>
          <w:iCs/>
          <w:spacing w:val="-1"/>
          <w:sz w:val="28"/>
          <w:szCs w:val="28"/>
        </w:rPr>
      </w:pPr>
    </w:p>
    <w:sectPr w:rsidR="00E23C31" w:rsidSect="00A42D1B">
      <w:footerReference w:type="default" r:id="rId20"/>
      <w:pgSz w:w="11906" w:h="16838"/>
      <w:pgMar w:top="1134" w:right="850" w:bottom="1134" w:left="1701"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568" w:rsidRDefault="00067568" w:rsidP="00A42D1B">
      <w:pPr>
        <w:spacing w:after="0" w:line="240" w:lineRule="auto"/>
      </w:pPr>
      <w:r>
        <w:separator/>
      </w:r>
    </w:p>
  </w:endnote>
  <w:endnote w:type="continuationSeparator" w:id="1">
    <w:p w:rsidR="00067568" w:rsidRDefault="00067568" w:rsidP="00A42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656813"/>
      <w:docPartObj>
        <w:docPartGallery w:val="Page Numbers (Bottom of Page)"/>
        <w:docPartUnique/>
      </w:docPartObj>
    </w:sdtPr>
    <w:sdtContent>
      <w:p w:rsidR="00A42D1B" w:rsidRDefault="00A42D1B">
        <w:pPr>
          <w:pStyle w:val="ac"/>
          <w:jc w:val="center"/>
        </w:pPr>
        <w:fldSimple w:instr=" PAGE   \* MERGEFORMAT ">
          <w:r>
            <w:rPr>
              <w:noProof/>
            </w:rPr>
            <w:t>15</w:t>
          </w:r>
        </w:fldSimple>
      </w:p>
    </w:sdtContent>
  </w:sdt>
  <w:p w:rsidR="00A42D1B" w:rsidRDefault="00A42D1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568" w:rsidRDefault="00067568" w:rsidP="00A42D1B">
      <w:pPr>
        <w:spacing w:after="0" w:line="240" w:lineRule="auto"/>
      </w:pPr>
      <w:r>
        <w:separator/>
      </w:r>
    </w:p>
  </w:footnote>
  <w:footnote w:type="continuationSeparator" w:id="1">
    <w:p w:rsidR="00067568" w:rsidRDefault="00067568" w:rsidP="00A42D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C43A6"/>
    <w:multiLevelType w:val="hybridMultilevel"/>
    <w:tmpl w:val="24E4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D12FEA"/>
    <w:multiLevelType w:val="hybridMultilevel"/>
    <w:tmpl w:val="B88E9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36F2B"/>
    <w:rsid w:val="00067568"/>
    <w:rsid w:val="000A6392"/>
    <w:rsid w:val="000A77DE"/>
    <w:rsid w:val="0011343A"/>
    <w:rsid w:val="00174BDA"/>
    <w:rsid w:val="001D4457"/>
    <w:rsid w:val="002E2AF3"/>
    <w:rsid w:val="00311EB9"/>
    <w:rsid w:val="00322D4A"/>
    <w:rsid w:val="0039305A"/>
    <w:rsid w:val="00416DEC"/>
    <w:rsid w:val="00443F85"/>
    <w:rsid w:val="00465F5E"/>
    <w:rsid w:val="00550B4B"/>
    <w:rsid w:val="005A2DDB"/>
    <w:rsid w:val="005C3A02"/>
    <w:rsid w:val="005E384C"/>
    <w:rsid w:val="006019D8"/>
    <w:rsid w:val="008772A7"/>
    <w:rsid w:val="008D12F4"/>
    <w:rsid w:val="00911B8E"/>
    <w:rsid w:val="00A1038D"/>
    <w:rsid w:val="00A42D1B"/>
    <w:rsid w:val="00A50A04"/>
    <w:rsid w:val="00A878AB"/>
    <w:rsid w:val="00AE050C"/>
    <w:rsid w:val="00AE68D3"/>
    <w:rsid w:val="00B24ED9"/>
    <w:rsid w:val="00CB74BF"/>
    <w:rsid w:val="00E23C31"/>
    <w:rsid w:val="00E36F2B"/>
    <w:rsid w:val="00F9278C"/>
    <w:rsid w:val="00FD5FF8"/>
    <w:rsid w:val="00FE22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2F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6F2B"/>
    <w:pPr>
      <w:spacing w:after="0" w:line="240" w:lineRule="auto"/>
      <w:ind w:firstLine="720"/>
      <w:jc w:val="both"/>
    </w:pPr>
    <w:rPr>
      <w:rFonts w:ascii="Times New Roman" w:eastAsia="Calibri" w:hAnsi="Times New Roman" w:cs="Times New Roman"/>
      <w:sz w:val="24"/>
      <w:szCs w:val="24"/>
      <w:lang w:eastAsia="en-US"/>
    </w:rPr>
  </w:style>
  <w:style w:type="character" w:customStyle="1" w:styleId="a4">
    <w:name w:val="Без интервала Знак"/>
    <w:link w:val="a3"/>
    <w:uiPriority w:val="1"/>
    <w:rsid w:val="00E36F2B"/>
    <w:rPr>
      <w:rFonts w:ascii="Times New Roman" w:eastAsia="Calibri" w:hAnsi="Times New Roman" w:cs="Times New Roman"/>
      <w:sz w:val="24"/>
      <w:szCs w:val="24"/>
      <w:lang w:eastAsia="en-US"/>
    </w:rPr>
  </w:style>
  <w:style w:type="paragraph" w:styleId="a5">
    <w:name w:val="Balloon Text"/>
    <w:basedOn w:val="a"/>
    <w:link w:val="a6"/>
    <w:uiPriority w:val="99"/>
    <w:semiHidden/>
    <w:unhideWhenUsed/>
    <w:rsid w:val="00E36F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6F2B"/>
    <w:rPr>
      <w:rFonts w:ascii="Tahoma" w:hAnsi="Tahoma" w:cs="Tahoma"/>
      <w:sz w:val="16"/>
      <w:szCs w:val="16"/>
    </w:rPr>
  </w:style>
  <w:style w:type="paragraph" w:styleId="a7">
    <w:name w:val="List Paragraph"/>
    <w:basedOn w:val="a"/>
    <w:uiPriority w:val="34"/>
    <w:qFormat/>
    <w:rsid w:val="00911B8E"/>
    <w:pPr>
      <w:ind w:left="720"/>
      <w:contextualSpacing/>
    </w:pPr>
    <w:rPr>
      <w:rFonts w:eastAsiaTheme="minorHAnsi"/>
      <w:lang w:eastAsia="en-US"/>
    </w:rPr>
  </w:style>
  <w:style w:type="character" w:styleId="a8">
    <w:name w:val="Hyperlink"/>
    <w:basedOn w:val="a0"/>
    <w:uiPriority w:val="99"/>
    <w:unhideWhenUsed/>
    <w:rsid w:val="00911B8E"/>
    <w:rPr>
      <w:color w:val="0000FF" w:themeColor="hyperlink"/>
      <w:u w:val="single"/>
    </w:rPr>
  </w:style>
  <w:style w:type="paragraph" w:styleId="a9">
    <w:name w:val="Normal (Web)"/>
    <w:basedOn w:val="a"/>
    <w:rsid w:val="0011343A"/>
    <w:pPr>
      <w:suppressAutoHyphens/>
      <w:spacing w:after="150" w:line="240" w:lineRule="auto"/>
    </w:pPr>
    <w:rPr>
      <w:rFonts w:ascii="Arial" w:eastAsia="Times New Roman" w:hAnsi="Arial" w:cs="Arial"/>
      <w:color w:val="000000"/>
      <w:sz w:val="18"/>
      <w:szCs w:val="18"/>
      <w:lang w:eastAsia="ar-SA"/>
    </w:rPr>
  </w:style>
  <w:style w:type="paragraph" w:styleId="aa">
    <w:name w:val="header"/>
    <w:basedOn w:val="a"/>
    <w:link w:val="ab"/>
    <w:uiPriority w:val="99"/>
    <w:semiHidden/>
    <w:unhideWhenUsed/>
    <w:rsid w:val="00A42D1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42D1B"/>
  </w:style>
  <w:style w:type="paragraph" w:styleId="ac">
    <w:name w:val="footer"/>
    <w:basedOn w:val="a"/>
    <w:link w:val="ad"/>
    <w:uiPriority w:val="99"/>
    <w:unhideWhenUsed/>
    <w:rsid w:val="00A42D1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2D1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hyperlink" Target="http://viki.rdf.r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18</Pages>
  <Words>1836</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пфейфер</dc:creator>
  <cp:keywords/>
  <dc:description/>
  <cp:lastModifiedBy>юрий пфейфер</cp:lastModifiedBy>
  <cp:revision>9</cp:revision>
  <dcterms:created xsi:type="dcterms:W3CDTF">2021-05-11T17:06:00Z</dcterms:created>
  <dcterms:modified xsi:type="dcterms:W3CDTF">2021-05-14T18:35:00Z</dcterms:modified>
</cp:coreProperties>
</file>